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DA" w:rsidRDefault="009732DA" w:rsidP="009732DA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732DA" w:rsidRDefault="009732DA" w:rsidP="009732DA">
      <w:pPr>
        <w:spacing w:beforeLines="150" w:before="468" w:afterLines="150" w:after="468" w:line="64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《中国药物警戒》期刊学术</w:t>
      </w:r>
      <w:bookmarkStart w:id="0" w:name="_GoBack"/>
      <w:r>
        <w:rPr>
          <w:rFonts w:ascii="方正小标宋简体" w:eastAsia="方正小标宋简体" w:hAnsi="方正小标宋简体" w:hint="eastAsia"/>
          <w:bCs/>
          <w:sz w:val="44"/>
          <w:szCs w:val="44"/>
        </w:rPr>
        <w:t>交流会日程安排</w:t>
      </w:r>
    </w:p>
    <w:tbl>
      <w:tblPr>
        <w:tblW w:w="53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4994"/>
        <w:gridCol w:w="2279"/>
      </w:tblGrid>
      <w:tr w:rsidR="009732DA" w:rsidTr="00B47832">
        <w:trPr>
          <w:trHeight w:val="820"/>
          <w:jc w:val="center"/>
        </w:trPr>
        <w:tc>
          <w:tcPr>
            <w:tcW w:w="1016" w:type="pct"/>
            <w:vAlign w:val="center"/>
          </w:tcPr>
          <w:bookmarkEnd w:id="0"/>
          <w:p w:rsidR="009732DA" w:rsidRDefault="009732DA" w:rsidP="00B47832">
            <w:pPr>
              <w:spacing w:line="54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学术时间</w:t>
            </w:r>
          </w:p>
        </w:tc>
        <w:tc>
          <w:tcPr>
            <w:tcW w:w="2734" w:type="pct"/>
            <w:vAlign w:val="center"/>
          </w:tcPr>
          <w:p w:rsidR="009732DA" w:rsidRDefault="009732DA" w:rsidP="00B47832">
            <w:pPr>
              <w:spacing w:line="54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学术主题</w:t>
            </w:r>
          </w:p>
        </w:tc>
        <w:tc>
          <w:tcPr>
            <w:tcW w:w="1248" w:type="pct"/>
            <w:vAlign w:val="center"/>
          </w:tcPr>
          <w:p w:rsidR="009732DA" w:rsidRDefault="009732DA" w:rsidP="00B47832">
            <w:pPr>
              <w:spacing w:line="54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学术专家</w:t>
            </w:r>
          </w:p>
        </w:tc>
      </w:tr>
      <w:tr w:rsidR="009732DA" w:rsidTr="00B47832">
        <w:trPr>
          <w:trHeight w:val="680"/>
          <w:jc w:val="center"/>
        </w:trPr>
        <w:tc>
          <w:tcPr>
            <w:tcW w:w="1016" w:type="pct"/>
            <w:vAlign w:val="center"/>
          </w:tcPr>
          <w:p w:rsidR="009732DA" w:rsidRDefault="009732DA" w:rsidP="00B47832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30"/>
                <w:szCs w:val="30"/>
              </w:rPr>
              <w:t>13:30-13:40</w:t>
            </w:r>
          </w:p>
        </w:tc>
        <w:tc>
          <w:tcPr>
            <w:tcW w:w="2734" w:type="pct"/>
            <w:vAlign w:val="center"/>
          </w:tcPr>
          <w:p w:rsidR="009732DA" w:rsidRDefault="009732DA" w:rsidP="00B47832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领导致辞</w:t>
            </w:r>
          </w:p>
        </w:tc>
        <w:tc>
          <w:tcPr>
            <w:tcW w:w="1248" w:type="pct"/>
          </w:tcPr>
          <w:p w:rsidR="009732DA" w:rsidRDefault="009732DA" w:rsidP="00B47832">
            <w:pPr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《中国药物警戒》</w:t>
            </w:r>
          </w:p>
          <w:p w:rsidR="009732DA" w:rsidRDefault="009732DA" w:rsidP="00B4783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期刊主编</w:t>
            </w:r>
          </w:p>
        </w:tc>
      </w:tr>
      <w:tr w:rsidR="009732DA" w:rsidTr="00B47832">
        <w:trPr>
          <w:trHeight w:val="731"/>
          <w:jc w:val="center"/>
        </w:trPr>
        <w:tc>
          <w:tcPr>
            <w:tcW w:w="1016" w:type="pct"/>
            <w:vAlign w:val="center"/>
          </w:tcPr>
          <w:p w:rsidR="009732DA" w:rsidRDefault="009732DA" w:rsidP="00B47832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30"/>
                <w:szCs w:val="30"/>
              </w:rPr>
              <w:t>13:40-13:55</w:t>
            </w:r>
          </w:p>
        </w:tc>
        <w:tc>
          <w:tcPr>
            <w:tcW w:w="2734" w:type="pct"/>
            <w:vAlign w:val="center"/>
          </w:tcPr>
          <w:p w:rsidR="009732DA" w:rsidRDefault="009732DA" w:rsidP="00B47832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《中国药物警戒》助力中药药物警戒</w:t>
            </w:r>
          </w:p>
        </w:tc>
        <w:tc>
          <w:tcPr>
            <w:tcW w:w="1248" w:type="pct"/>
          </w:tcPr>
          <w:p w:rsidR="009732DA" w:rsidRDefault="009732DA" w:rsidP="00B47832">
            <w:pPr>
              <w:ind w:firstLineChars="100" w:firstLine="240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药品评价中心</w:t>
            </w:r>
          </w:p>
          <w:p w:rsidR="009732DA" w:rsidRDefault="009732DA" w:rsidP="00B47832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专 家</w:t>
            </w:r>
          </w:p>
        </w:tc>
      </w:tr>
      <w:tr w:rsidR="009732DA" w:rsidTr="00B47832">
        <w:trPr>
          <w:trHeight w:val="659"/>
          <w:jc w:val="center"/>
        </w:trPr>
        <w:tc>
          <w:tcPr>
            <w:tcW w:w="1016" w:type="pct"/>
            <w:vAlign w:val="center"/>
          </w:tcPr>
          <w:p w:rsidR="009732DA" w:rsidRDefault="009732DA" w:rsidP="00B47832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30"/>
                <w:szCs w:val="30"/>
              </w:rPr>
              <w:t>13:55-14:30</w:t>
            </w:r>
          </w:p>
        </w:tc>
        <w:tc>
          <w:tcPr>
            <w:tcW w:w="2734" w:type="pct"/>
            <w:vAlign w:val="center"/>
          </w:tcPr>
          <w:p w:rsidR="009732DA" w:rsidRDefault="009732DA" w:rsidP="00B47832">
            <w:pPr>
              <w:spacing w:line="540" w:lineRule="exact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中药药物警戒的源流与关键问题思考</w:t>
            </w:r>
          </w:p>
        </w:tc>
        <w:tc>
          <w:tcPr>
            <w:tcW w:w="1248" w:type="pct"/>
          </w:tcPr>
          <w:p w:rsidR="009732DA" w:rsidRDefault="009732DA" w:rsidP="00B47832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北京中医药大学</w:t>
            </w:r>
          </w:p>
          <w:p w:rsidR="009732DA" w:rsidRDefault="009732DA" w:rsidP="00B47832">
            <w:pPr>
              <w:ind w:firstLineChars="300" w:firstLine="7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  家</w:t>
            </w:r>
          </w:p>
        </w:tc>
      </w:tr>
      <w:tr w:rsidR="009732DA" w:rsidTr="00B47832">
        <w:trPr>
          <w:trHeight w:val="711"/>
          <w:jc w:val="center"/>
        </w:trPr>
        <w:tc>
          <w:tcPr>
            <w:tcW w:w="1016" w:type="pct"/>
            <w:vAlign w:val="center"/>
          </w:tcPr>
          <w:p w:rsidR="009732DA" w:rsidRDefault="009732DA" w:rsidP="00B47832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30"/>
                <w:szCs w:val="30"/>
              </w:rPr>
              <w:t>14:30-15:05</w:t>
            </w:r>
          </w:p>
        </w:tc>
        <w:tc>
          <w:tcPr>
            <w:tcW w:w="2734" w:type="pct"/>
            <w:vAlign w:val="center"/>
          </w:tcPr>
          <w:p w:rsidR="009732DA" w:rsidRDefault="009732DA" w:rsidP="00B47832">
            <w:pPr>
              <w:spacing w:line="540" w:lineRule="exact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雷公藤甲素的肝肾毒性研究进展</w:t>
            </w:r>
          </w:p>
        </w:tc>
        <w:tc>
          <w:tcPr>
            <w:tcW w:w="1248" w:type="pct"/>
            <w:vAlign w:val="center"/>
          </w:tcPr>
          <w:p w:rsidR="009732DA" w:rsidRDefault="009732DA" w:rsidP="00B47832">
            <w:pPr>
              <w:ind w:firstLineChars="100" w:firstLine="240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广东药科大学</w:t>
            </w:r>
          </w:p>
          <w:p w:rsidR="009732DA" w:rsidRDefault="009732DA" w:rsidP="00B47832">
            <w:pPr>
              <w:ind w:firstLineChars="300" w:firstLine="72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专  家</w:t>
            </w:r>
          </w:p>
        </w:tc>
      </w:tr>
      <w:tr w:rsidR="009732DA" w:rsidTr="00B47832">
        <w:trPr>
          <w:trHeight w:val="680"/>
          <w:jc w:val="center"/>
        </w:trPr>
        <w:tc>
          <w:tcPr>
            <w:tcW w:w="1016" w:type="pct"/>
            <w:vAlign w:val="center"/>
          </w:tcPr>
          <w:p w:rsidR="009732DA" w:rsidRDefault="009732DA" w:rsidP="00B47832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30"/>
                <w:szCs w:val="30"/>
              </w:rPr>
              <w:t>15:05-15:40</w:t>
            </w:r>
          </w:p>
        </w:tc>
        <w:tc>
          <w:tcPr>
            <w:tcW w:w="2734" w:type="pct"/>
            <w:vAlign w:val="center"/>
          </w:tcPr>
          <w:p w:rsidR="009732DA" w:rsidRDefault="009732DA" w:rsidP="00B47832">
            <w:pPr>
              <w:spacing w:line="540" w:lineRule="exact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中药心脏毒性评价与药物警戒</w:t>
            </w:r>
          </w:p>
        </w:tc>
        <w:tc>
          <w:tcPr>
            <w:tcW w:w="1248" w:type="pct"/>
          </w:tcPr>
          <w:p w:rsidR="009732DA" w:rsidRDefault="009732DA" w:rsidP="00B47832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成都中医药大学</w:t>
            </w:r>
          </w:p>
          <w:p w:rsidR="009732DA" w:rsidRDefault="009732DA" w:rsidP="00B47832">
            <w:pPr>
              <w:ind w:firstLineChars="300" w:firstLine="720"/>
              <w:rPr>
                <w:rFonts w:ascii="仿宋_GB2312" w:eastAsia="仿宋_GB2312" w:hAnsi="宋体" w:cs="宋体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 家</w:t>
            </w:r>
          </w:p>
        </w:tc>
      </w:tr>
      <w:tr w:rsidR="009732DA" w:rsidTr="00B47832">
        <w:trPr>
          <w:trHeight w:val="593"/>
          <w:jc w:val="center"/>
        </w:trPr>
        <w:tc>
          <w:tcPr>
            <w:tcW w:w="1016" w:type="pct"/>
            <w:vAlign w:val="center"/>
          </w:tcPr>
          <w:p w:rsidR="009732DA" w:rsidRDefault="009732DA" w:rsidP="00B47832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30"/>
                <w:szCs w:val="30"/>
              </w:rPr>
              <w:t xml:space="preserve">15:40-16:15 </w:t>
            </w:r>
          </w:p>
        </w:tc>
        <w:tc>
          <w:tcPr>
            <w:tcW w:w="2734" w:type="pct"/>
            <w:vAlign w:val="center"/>
          </w:tcPr>
          <w:p w:rsidR="009732DA" w:rsidRDefault="009732DA" w:rsidP="00B47832">
            <w:pPr>
              <w:spacing w:line="540" w:lineRule="exact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中成药上市后药物警戒实施</w:t>
            </w:r>
          </w:p>
        </w:tc>
        <w:tc>
          <w:tcPr>
            <w:tcW w:w="1248" w:type="pct"/>
          </w:tcPr>
          <w:p w:rsidR="009732DA" w:rsidRDefault="009732DA" w:rsidP="00B47832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药品评价中心</w:t>
            </w:r>
          </w:p>
          <w:p w:rsidR="009732DA" w:rsidRDefault="009732DA" w:rsidP="00B47832">
            <w:pPr>
              <w:ind w:firstLineChars="300" w:firstLine="7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专 家</w:t>
            </w:r>
          </w:p>
        </w:tc>
      </w:tr>
      <w:tr w:rsidR="009732DA" w:rsidTr="00B47832">
        <w:trPr>
          <w:trHeight w:val="544"/>
          <w:jc w:val="center"/>
        </w:trPr>
        <w:tc>
          <w:tcPr>
            <w:tcW w:w="1016" w:type="pct"/>
            <w:vAlign w:val="center"/>
          </w:tcPr>
          <w:p w:rsidR="009732DA" w:rsidRDefault="009732DA" w:rsidP="00B47832">
            <w:pPr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30"/>
                <w:szCs w:val="30"/>
              </w:rPr>
              <w:t>16:15-16:50</w:t>
            </w:r>
          </w:p>
        </w:tc>
        <w:tc>
          <w:tcPr>
            <w:tcW w:w="2734" w:type="pct"/>
            <w:vAlign w:val="center"/>
          </w:tcPr>
          <w:p w:rsidR="009732DA" w:rsidRDefault="009732DA" w:rsidP="00B47832">
            <w:pPr>
              <w:spacing w:line="540" w:lineRule="exact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中药临床应用的风险评价与预警探索</w:t>
            </w:r>
          </w:p>
        </w:tc>
        <w:tc>
          <w:tcPr>
            <w:tcW w:w="1248" w:type="pct"/>
          </w:tcPr>
          <w:p w:rsidR="009732DA" w:rsidRDefault="009732DA" w:rsidP="00B47832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北京中医药大学</w:t>
            </w:r>
          </w:p>
          <w:p w:rsidR="009732DA" w:rsidRDefault="009732DA" w:rsidP="00B47832">
            <w:pPr>
              <w:ind w:firstLineChars="300" w:firstLine="720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 家</w:t>
            </w:r>
          </w:p>
        </w:tc>
      </w:tr>
      <w:tr w:rsidR="009732DA" w:rsidTr="00B47832">
        <w:trPr>
          <w:trHeight w:val="707"/>
          <w:jc w:val="center"/>
        </w:trPr>
        <w:tc>
          <w:tcPr>
            <w:tcW w:w="1016" w:type="pct"/>
            <w:vAlign w:val="center"/>
          </w:tcPr>
          <w:p w:rsidR="009732DA" w:rsidRDefault="009732DA" w:rsidP="00B47832">
            <w:pPr>
              <w:spacing w:line="540" w:lineRule="exact"/>
              <w:jc w:val="center"/>
              <w:rPr>
                <w:rFonts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30"/>
                <w:szCs w:val="30"/>
              </w:rPr>
              <w:t>16:50-17:00</w:t>
            </w:r>
          </w:p>
        </w:tc>
        <w:tc>
          <w:tcPr>
            <w:tcW w:w="2734" w:type="pct"/>
            <w:vAlign w:val="center"/>
          </w:tcPr>
          <w:p w:rsidR="009732DA" w:rsidRDefault="009732DA" w:rsidP="00B47832">
            <w:pPr>
              <w:spacing w:line="540" w:lineRule="exact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会议小结</w:t>
            </w:r>
          </w:p>
        </w:tc>
        <w:tc>
          <w:tcPr>
            <w:tcW w:w="1248" w:type="pct"/>
          </w:tcPr>
          <w:p w:rsidR="009732DA" w:rsidRDefault="009732DA" w:rsidP="00B47832">
            <w:pPr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《中国药物警戒》</w:t>
            </w:r>
          </w:p>
          <w:p w:rsidR="009732DA" w:rsidRDefault="009732DA" w:rsidP="00B47832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期刊副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主编</w:t>
            </w:r>
          </w:p>
        </w:tc>
      </w:tr>
    </w:tbl>
    <w:p w:rsidR="009732DA" w:rsidRDefault="009732DA" w:rsidP="009732DA">
      <w:pPr>
        <w:spacing w:line="260" w:lineRule="exact"/>
        <w:rPr>
          <w:rFonts w:ascii="仿宋" w:eastAsia="仿宋" w:hAnsi="仿宋"/>
          <w:color w:val="FFFFFF"/>
          <w:sz w:val="32"/>
          <w:szCs w:val="32"/>
        </w:rPr>
      </w:pPr>
    </w:p>
    <w:p w:rsidR="009732DA" w:rsidRDefault="009732DA" w:rsidP="009732DA">
      <w:pPr>
        <w:spacing w:line="260" w:lineRule="exact"/>
        <w:rPr>
          <w:rFonts w:ascii="仿宋" w:eastAsia="仿宋" w:hAnsi="仿宋"/>
          <w:color w:val="FFFFFF"/>
          <w:sz w:val="32"/>
          <w:szCs w:val="32"/>
        </w:rPr>
      </w:pPr>
    </w:p>
    <w:p w:rsidR="009732DA" w:rsidRDefault="009732DA" w:rsidP="009732DA">
      <w:pPr>
        <w:spacing w:line="260" w:lineRule="exact"/>
        <w:rPr>
          <w:rFonts w:ascii="仿宋" w:eastAsia="仿宋" w:hAnsi="仿宋"/>
          <w:color w:val="FFFFFF"/>
          <w:sz w:val="32"/>
          <w:szCs w:val="32"/>
        </w:rPr>
      </w:pPr>
    </w:p>
    <w:p w:rsidR="009732DA" w:rsidRDefault="009732DA" w:rsidP="009732DA">
      <w:pPr>
        <w:spacing w:line="260" w:lineRule="exact"/>
        <w:rPr>
          <w:rFonts w:ascii="仿宋" w:eastAsia="仿宋" w:hAnsi="仿宋"/>
          <w:color w:val="FFFFFF"/>
          <w:sz w:val="32"/>
          <w:szCs w:val="32"/>
        </w:rPr>
      </w:pPr>
    </w:p>
    <w:p w:rsidR="009732DA" w:rsidRDefault="009732DA" w:rsidP="009732DA">
      <w:pPr>
        <w:spacing w:line="260" w:lineRule="exact"/>
        <w:rPr>
          <w:rFonts w:ascii="仿宋" w:eastAsia="仿宋" w:hAnsi="仿宋"/>
          <w:color w:val="FFFFFF"/>
          <w:sz w:val="32"/>
          <w:szCs w:val="32"/>
        </w:rPr>
      </w:pPr>
    </w:p>
    <w:p w:rsidR="009732DA" w:rsidRDefault="009732DA" w:rsidP="009732DA">
      <w:pPr>
        <w:spacing w:line="260" w:lineRule="exact"/>
        <w:rPr>
          <w:rFonts w:ascii="仿宋" w:eastAsia="仿宋" w:hAnsi="仿宋"/>
          <w:color w:val="FFFFFF"/>
          <w:sz w:val="32"/>
          <w:szCs w:val="32"/>
        </w:rPr>
      </w:pPr>
    </w:p>
    <w:p w:rsidR="009732DA" w:rsidRDefault="009732DA" w:rsidP="009732DA">
      <w:pPr>
        <w:spacing w:line="260" w:lineRule="exact"/>
        <w:rPr>
          <w:rFonts w:ascii="仿宋" w:eastAsia="仿宋" w:hAnsi="仿宋"/>
          <w:color w:val="FFFFFF"/>
          <w:sz w:val="32"/>
          <w:szCs w:val="32"/>
        </w:rPr>
      </w:pPr>
    </w:p>
    <w:p w:rsidR="009732DA" w:rsidRDefault="009732DA" w:rsidP="009732DA">
      <w:pPr>
        <w:spacing w:line="260" w:lineRule="exact"/>
        <w:rPr>
          <w:rFonts w:ascii="仿宋" w:eastAsia="仿宋" w:hAnsi="仿宋"/>
          <w:color w:val="FFFFFF"/>
          <w:sz w:val="32"/>
          <w:szCs w:val="32"/>
        </w:rPr>
      </w:pPr>
    </w:p>
    <w:p w:rsidR="009732DA" w:rsidRDefault="009732DA" w:rsidP="009732DA">
      <w:pPr>
        <w:spacing w:line="260" w:lineRule="exact"/>
        <w:rPr>
          <w:rFonts w:ascii="仿宋" w:eastAsia="仿宋" w:hAnsi="仿宋"/>
          <w:color w:val="FFFFFF"/>
          <w:sz w:val="32"/>
          <w:szCs w:val="32"/>
        </w:rPr>
      </w:pPr>
    </w:p>
    <w:p w:rsidR="009732DA" w:rsidRDefault="009732DA" w:rsidP="009732DA">
      <w:pPr>
        <w:spacing w:line="260" w:lineRule="exact"/>
        <w:rPr>
          <w:rFonts w:ascii="仿宋" w:eastAsia="仿宋" w:hAnsi="仿宋"/>
          <w:color w:val="FFFFFF"/>
          <w:sz w:val="32"/>
          <w:szCs w:val="32"/>
        </w:rPr>
      </w:pPr>
    </w:p>
    <w:p w:rsidR="009732DA" w:rsidRDefault="009732DA" w:rsidP="009732DA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9732DA" w:rsidRDefault="009732DA" w:rsidP="009732DA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9732DA" w:rsidRDefault="009732DA" w:rsidP="009732DA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9732DA" w:rsidRDefault="009732DA" w:rsidP="009732DA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5A1CCE" w:rsidRPr="009732DA" w:rsidRDefault="005A1CCE"/>
    <w:sectPr w:rsidR="005A1CCE" w:rsidRPr="00973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DA"/>
    <w:rsid w:val="00026E47"/>
    <w:rsid w:val="003976A4"/>
    <w:rsid w:val="00432E7E"/>
    <w:rsid w:val="005A1CCE"/>
    <w:rsid w:val="006C0493"/>
    <w:rsid w:val="006E3614"/>
    <w:rsid w:val="00804D3E"/>
    <w:rsid w:val="009732DA"/>
    <w:rsid w:val="009E2774"/>
    <w:rsid w:val="00DD5568"/>
    <w:rsid w:val="00E9775A"/>
    <w:rsid w:val="00E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D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D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沈璐</dc:creator>
  <cp:lastModifiedBy>沈璐</cp:lastModifiedBy>
  <cp:revision>1</cp:revision>
  <dcterms:created xsi:type="dcterms:W3CDTF">2022-03-14T06:56:00Z</dcterms:created>
  <dcterms:modified xsi:type="dcterms:W3CDTF">2022-03-14T06:56:00Z</dcterms:modified>
</cp:coreProperties>
</file>