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8C" w:rsidRDefault="00AC39CB">
      <w:pPr>
        <w:pStyle w:val="a7"/>
        <w:adjustRightInd w:val="0"/>
        <w:snapToGrid w:val="0"/>
        <w:rPr>
          <w:rFonts w:ascii="黑体" w:eastAsia="黑体" w:hAnsi="黑体" w:cs="方正小标宋简体"/>
          <w:sz w:val="32"/>
          <w:szCs w:val="44"/>
        </w:rPr>
      </w:pPr>
      <w:r>
        <w:rPr>
          <w:rFonts w:ascii="黑体" w:eastAsia="黑体" w:hAnsi="黑体" w:cs="方正小标宋简体" w:hint="eastAsia"/>
          <w:sz w:val="32"/>
          <w:szCs w:val="44"/>
        </w:rPr>
        <w:t>附件</w:t>
      </w:r>
      <w:r>
        <w:rPr>
          <w:rFonts w:ascii="黑体" w:eastAsia="黑体" w:hAnsi="黑体" w:cs="方正小标宋简体"/>
          <w:sz w:val="32"/>
          <w:szCs w:val="44"/>
        </w:rPr>
        <w:t>1</w:t>
      </w:r>
      <w:bookmarkStart w:id="0" w:name="_GoBack"/>
      <w:bookmarkEnd w:id="0"/>
    </w:p>
    <w:p w:rsidR="00DA0D8C" w:rsidRDefault="00DA0D8C">
      <w:pPr>
        <w:pStyle w:val="a7"/>
        <w:adjustRightInd w:val="0"/>
        <w:snapToGrid w:val="0"/>
        <w:jc w:val="center"/>
        <w:rPr>
          <w:rFonts w:ascii="方正小标宋简体" w:eastAsia="方正小标宋简体" w:hAnsi="方正小标宋简体" w:cs="方正小标宋简体"/>
          <w:sz w:val="44"/>
          <w:szCs w:val="44"/>
        </w:rPr>
      </w:pPr>
    </w:p>
    <w:p w:rsidR="00DA0D8C" w:rsidRDefault="00AC39CB">
      <w:pPr>
        <w:pStyle w:val="a7"/>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国家药品监督管理局药物警戒研究与评价</w:t>
      </w:r>
    </w:p>
    <w:p w:rsidR="00DA0D8C" w:rsidRDefault="00AC39CB">
      <w:pPr>
        <w:pStyle w:val="a7"/>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重点实验室开放课题申报指南</w:t>
      </w:r>
      <w:r w:rsidR="005F7F8B">
        <w:rPr>
          <w:rFonts w:ascii="方正小标宋简体" w:eastAsia="方正小标宋简体" w:hAnsi="方正小标宋简体" w:cs="方正小标宋简体" w:hint="eastAsia"/>
          <w:sz w:val="44"/>
          <w:szCs w:val="44"/>
        </w:rPr>
        <w:t>（2022年）</w:t>
      </w:r>
    </w:p>
    <w:p w:rsidR="00DA0D8C" w:rsidRDefault="00DA0D8C">
      <w:pPr>
        <w:adjustRightInd w:val="0"/>
        <w:snapToGrid w:val="0"/>
        <w:spacing w:line="588" w:lineRule="exact"/>
        <w:ind w:firstLineChars="200" w:firstLine="622"/>
        <w:rPr>
          <w:rFonts w:ascii="仿宋_GB2312" w:eastAsia="仿宋_GB2312" w:hAnsi="黑体" w:cs="黑体"/>
          <w:sz w:val="32"/>
          <w:szCs w:val="32"/>
        </w:rPr>
      </w:pPr>
    </w:p>
    <w:p w:rsidR="00DA0D8C" w:rsidRDefault="00AC39CB">
      <w:pPr>
        <w:adjustRightInd w:val="0"/>
        <w:snapToGrid w:val="0"/>
        <w:spacing w:line="588" w:lineRule="exact"/>
        <w:ind w:firstLineChars="200" w:firstLine="622"/>
        <w:rPr>
          <w:rFonts w:ascii="黑体" w:eastAsia="黑体" w:hAnsi="黑体" w:cs="黑体"/>
          <w:sz w:val="32"/>
          <w:szCs w:val="32"/>
        </w:rPr>
      </w:pPr>
      <w:r>
        <w:rPr>
          <w:rFonts w:ascii="黑体" w:eastAsia="黑体" w:hAnsi="黑体" w:cs="黑体" w:hint="eastAsia"/>
          <w:sz w:val="32"/>
          <w:szCs w:val="32"/>
        </w:rPr>
        <w:t>一、指导思想</w:t>
      </w:r>
    </w:p>
    <w:p w:rsidR="00DA0D8C" w:rsidRDefault="00AC39CB">
      <w:pPr>
        <w:spacing w:line="588" w:lineRule="exact"/>
        <w:ind w:firstLine="621"/>
        <w:rPr>
          <w:rFonts w:ascii="仿宋_GB2312" w:eastAsia="仿宋_GB2312" w:hAnsi="仿宋" w:cs="仿宋"/>
          <w:sz w:val="32"/>
          <w:szCs w:val="32"/>
        </w:rPr>
      </w:pPr>
      <w:r>
        <w:rPr>
          <w:rFonts w:ascii="仿宋_GB2312" w:eastAsia="仿宋_GB2312" w:hAnsi="仿宋" w:cs="仿宋" w:hint="eastAsia"/>
          <w:sz w:val="32"/>
          <w:szCs w:val="32"/>
        </w:rPr>
        <w:t>为推动我国药品不良反应监测与评价工作的基础理论研究、应用研究，以及相应的学科建设和人才培养等工作，提升药品不良反应监测与评价工作能力和水平，培养高素质的专业队伍，促进我国药品监测与评价事业的发展，保障人民群众健康，为药品监管和评价工作决策提供有价值的研究成果。</w:t>
      </w:r>
    </w:p>
    <w:p w:rsidR="00DA0D8C" w:rsidRDefault="00AC39CB">
      <w:pPr>
        <w:adjustRightInd w:val="0"/>
        <w:snapToGrid w:val="0"/>
        <w:spacing w:line="588" w:lineRule="exact"/>
        <w:ind w:firstLineChars="200" w:firstLine="622"/>
        <w:rPr>
          <w:rFonts w:ascii="黑体" w:eastAsia="黑体" w:hAnsi="黑体" w:cs="黑体"/>
          <w:sz w:val="32"/>
          <w:szCs w:val="32"/>
        </w:rPr>
      </w:pPr>
      <w:r>
        <w:rPr>
          <w:rFonts w:ascii="黑体" w:eastAsia="黑体" w:hAnsi="黑体" w:cs="黑体" w:hint="eastAsia"/>
          <w:sz w:val="32"/>
          <w:szCs w:val="32"/>
        </w:rPr>
        <w:t>二、课题周期</w:t>
      </w:r>
    </w:p>
    <w:p w:rsidR="00DA0D8C" w:rsidRDefault="00AC39CB">
      <w:pPr>
        <w:adjustRightInd w:val="0"/>
        <w:snapToGrid w:val="0"/>
        <w:spacing w:line="588" w:lineRule="exact"/>
        <w:ind w:firstLineChars="200" w:firstLine="622"/>
        <w:rPr>
          <w:rFonts w:ascii="仿宋_GB2312" w:eastAsia="仿宋_GB2312" w:hAnsi="仿宋" w:cs="仿宋"/>
          <w:sz w:val="32"/>
          <w:szCs w:val="32"/>
        </w:rPr>
      </w:pPr>
      <w:r>
        <w:rPr>
          <w:rFonts w:ascii="仿宋_GB2312" w:eastAsia="仿宋_GB2312" w:hAnsi="仿宋" w:cs="仿宋" w:hint="eastAsia"/>
          <w:sz w:val="32"/>
          <w:szCs w:val="32"/>
        </w:rPr>
        <w:t>自课题合同签订之日起1</w:t>
      </w:r>
      <w:r w:rsidR="007679D7" w:rsidRPr="00D455D1">
        <w:rPr>
          <w:rFonts w:eastAsia="仿宋_GB2312"/>
          <w:sz w:val="32"/>
          <w:szCs w:val="32"/>
        </w:rPr>
        <w:t>~</w:t>
      </w:r>
      <w:r w:rsidR="00833CA3">
        <w:rPr>
          <w:rFonts w:ascii="仿宋_GB2312" w:eastAsia="仿宋_GB2312" w:hAnsi="仿宋" w:cs="仿宋" w:hint="eastAsia"/>
          <w:sz w:val="32"/>
          <w:szCs w:val="32"/>
        </w:rPr>
        <w:t>2</w:t>
      </w:r>
      <w:r>
        <w:rPr>
          <w:rFonts w:ascii="仿宋_GB2312" w:eastAsia="仿宋_GB2312" w:hAnsi="仿宋" w:cs="仿宋" w:hint="eastAsia"/>
          <w:sz w:val="32"/>
          <w:szCs w:val="32"/>
        </w:rPr>
        <w:t>年。</w:t>
      </w:r>
    </w:p>
    <w:p w:rsidR="00DA0D8C" w:rsidRDefault="00AC39CB">
      <w:pPr>
        <w:adjustRightInd w:val="0"/>
        <w:snapToGrid w:val="0"/>
        <w:spacing w:line="588" w:lineRule="exact"/>
        <w:ind w:firstLineChars="200" w:firstLine="622"/>
        <w:rPr>
          <w:rFonts w:ascii="黑体" w:eastAsia="黑体" w:hAnsi="黑体" w:cs="黑体"/>
          <w:sz w:val="32"/>
          <w:szCs w:val="32"/>
        </w:rPr>
      </w:pPr>
      <w:r>
        <w:rPr>
          <w:rFonts w:ascii="黑体" w:eastAsia="黑体" w:hAnsi="黑体" w:cs="黑体" w:hint="eastAsia"/>
          <w:sz w:val="32"/>
          <w:szCs w:val="32"/>
        </w:rPr>
        <w:t>三、申报指南</w:t>
      </w:r>
    </w:p>
    <w:p w:rsidR="0086122D" w:rsidRPr="0086122D" w:rsidRDefault="00A80249" w:rsidP="0074469F">
      <w:pPr>
        <w:adjustRightInd w:val="0"/>
        <w:snapToGrid w:val="0"/>
        <w:spacing w:line="560" w:lineRule="exact"/>
        <w:ind w:firstLineChars="100" w:firstLine="312"/>
        <w:rPr>
          <w:rFonts w:eastAsia="仿宋_GB2312"/>
          <w:b/>
          <w:sz w:val="32"/>
          <w:szCs w:val="32"/>
        </w:rPr>
      </w:pPr>
      <w:r w:rsidRPr="0086122D">
        <w:rPr>
          <w:rFonts w:ascii="仿宋_GB2312" w:eastAsia="仿宋_GB2312" w:hAnsi="仿宋" w:cs="仿宋" w:hint="eastAsia"/>
          <w:b/>
          <w:sz w:val="32"/>
          <w:szCs w:val="32"/>
        </w:rPr>
        <w:t>（一）</w:t>
      </w:r>
      <w:r w:rsidR="0086122D" w:rsidRPr="0086122D">
        <w:rPr>
          <w:rFonts w:eastAsia="仿宋_GB2312"/>
          <w:b/>
          <w:sz w:val="32"/>
          <w:szCs w:val="32"/>
        </w:rPr>
        <w:t>课题题目：国家药品不良反应监测哨点管理机制研究</w:t>
      </w:r>
    </w:p>
    <w:p w:rsidR="0086122D" w:rsidRPr="00C418B7" w:rsidRDefault="003308B4" w:rsidP="0086122D">
      <w:pPr>
        <w:adjustRightInd w:val="0"/>
        <w:snapToGrid w:val="0"/>
        <w:spacing w:line="560" w:lineRule="exact"/>
        <w:ind w:firstLineChars="200" w:firstLine="624"/>
        <w:rPr>
          <w:rFonts w:eastAsia="仿宋_GB2312"/>
          <w:sz w:val="32"/>
          <w:szCs w:val="28"/>
        </w:rPr>
      </w:pPr>
      <w:r>
        <w:rPr>
          <w:rFonts w:eastAsia="仿宋_GB2312" w:hint="eastAsia"/>
          <w:b/>
          <w:sz w:val="32"/>
          <w:szCs w:val="32"/>
        </w:rPr>
        <w:t xml:space="preserve">1. </w:t>
      </w:r>
      <w:r w:rsidR="0086122D" w:rsidRPr="0086122D">
        <w:rPr>
          <w:rFonts w:eastAsia="仿宋_GB2312"/>
          <w:b/>
          <w:sz w:val="32"/>
          <w:szCs w:val="32"/>
        </w:rPr>
        <w:t>立项背景：</w:t>
      </w:r>
      <w:r w:rsidR="0086122D" w:rsidRPr="006B3FC4">
        <w:rPr>
          <w:rFonts w:eastAsia="仿宋_GB2312" w:hint="eastAsia"/>
          <w:sz w:val="32"/>
          <w:szCs w:val="28"/>
        </w:rPr>
        <w:t>2016</w:t>
      </w:r>
      <w:r w:rsidR="0086122D">
        <w:rPr>
          <w:rFonts w:eastAsia="仿宋_GB2312" w:hint="eastAsia"/>
          <w:sz w:val="32"/>
          <w:szCs w:val="28"/>
        </w:rPr>
        <w:t>年原国家食品药品监督管理局启动药品不良反应监测哨点建设试点工作，</w:t>
      </w:r>
      <w:r w:rsidR="0086122D" w:rsidRPr="006B3FC4">
        <w:rPr>
          <w:rFonts w:eastAsia="仿宋_GB2312" w:hint="eastAsia"/>
          <w:sz w:val="32"/>
          <w:szCs w:val="28"/>
        </w:rPr>
        <w:t>2020</w:t>
      </w:r>
      <w:r w:rsidR="0086122D" w:rsidRPr="006B3FC4">
        <w:rPr>
          <w:rFonts w:eastAsia="仿宋_GB2312" w:hint="eastAsia"/>
          <w:sz w:val="32"/>
          <w:szCs w:val="28"/>
        </w:rPr>
        <w:t>年国家药监局</w:t>
      </w:r>
      <w:r w:rsidR="0086122D">
        <w:rPr>
          <w:rFonts w:eastAsia="仿宋_GB2312" w:hint="eastAsia"/>
          <w:sz w:val="32"/>
          <w:szCs w:val="28"/>
        </w:rPr>
        <w:t>发布《</w:t>
      </w:r>
      <w:r w:rsidR="0086122D" w:rsidRPr="006B3FC4">
        <w:rPr>
          <w:rFonts w:eastAsia="仿宋_GB2312" w:hint="eastAsia"/>
          <w:sz w:val="32"/>
          <w:szCs w:val="28"/>
        </w:rPr>
        <w:t>关于进一步加强药品不良反应监测评价体系和能力建设的意见》</w:t>
      </w:r>
      <w:r w:rsidR="0086122D">
        <w:rPr>
          <w:rFonts w:eastAsia="仿宋_GB2312" w:hint="eastAsia"/>
          <w:sz w:val="32"/>
          <w:szCs w:val="28"/>
        </w:rPr>
        <w:t>，提出了</w:t>
      </w:r>
      <w:r w:rsidR="0086122D" w:rsidRPr="006B3FC4">
        <w:rPr>
          <w:rFonts w:eastAsia="仿宋_GB2312" w:hint="eastAsia"/>
          <w:sz w:val="32"/>
          <w:szCs w:val="28"/>
        </w:rPr>
        <w:t>“继续推进建设药品不良反应医疗器械不良事件监测哨点、化妆品不良反应监测评价基地，充分发挥高水平技术支撑单位的专业技术优势和示范作用”。国家药品不良反应监测</w:t>
      </w:r>
      <w:proofErr w:type="gramStart"/>
      <w:r w:rsidR="0086122D" w:rsidRPr="006B3FC4">
        <w:rPr>
          <w:rFonts w:eastAsia="仿宋_GB2312" w:hint="eastAsia"/>
          <w:sz w:val="32"/>
          <w:szCs w:val="28"/>
        </w:rPr>
        <w:t>哨</w:t>
      </w:r>
      <w:proofErr w:type="gramEnd"/>
      <w:r w:rsidR="0086122D" w:rsidRPr="006B3FC4">
        <w:rPr>
          <w:rFonts w:eastAsia="仿宋_GB2312" w:hint="eastAsia"/>
          <w:sz w:val="32"/>
          <w:szCs w:val="28"/>
        </w:rPr>
        <w:t>点在开展药品安</w:t>
      </w:r>
      <w:r w:rsidR="0086122D" w:rsidRPr="006B3FC4">
        <w:rPr>
          <w:rFonts w:eastAsia="仿宋_GB2312" w:hint="eastAsia"/>
          <w:sz w:val="32"/>
          <w:szCs w:val="28"/>
        </w:rPr>
        <w:lastRenderedPageBreak/>
        <w:t>全主动监测、医疗器械风险控</w:t>
      </w:r>
      <w:r w:rsidR="0086122D">
        <w:rPr>
          <w:rFonts w:eastAsia="仿宋_GB2312" w:hint="eastAsia"/>
          <w:sz w:val="32"/>
          <w:szCs w:val="28"/>
        </w:rPr>
        <w:t>制、化妆品不良反应报告和药物滥用监测方面发挥着越来越重要的作用。</w:t>
      </w:r>
      <w:r w:rsidR="0086122D" w:rsidRPr="006B3FC4">
        <w:rPr>
          <w:rFonts w:eastAsia="仿宋_GB2312" w:hint="eastAsia"/>
          <w:sz w:val="32"/>
          <w:szCs w:val="28"/>
        </w:rPr>
        <w:t>为统一国家药品不良反应监测哨点工作标准和管理程序，实现“</w:t>
      </w:r>
      <w:r w:rsidR="0086122D">
        <w:rPr>
          <w:rFonts w:eastAsia="仿宋_GB2312" w:hint="eastAsia"/>
          <w:sz w:val="32"/>
          <w:szCs w:val="28"/>
        </w:rPr>
        <w:t>有进有出”的动态管理机制，拟开展国家药品不良反应监测哨点管理机制研究。</w:t>
      </w:r>
    </w:p>
    <w:p w:rsidR="0086122D" w:rsidRPr="007402E0" w:rsidRDefault="0086122D" w:rsidP="0086122D">
      <w:pPr>
        <w:adjustRightInd w:val="0"/>
        <w:snapToGrid w:val="0"/>
        <w:spacing w:line="560" w:lineRule="exact"/>
        <w:ind w:firstLineChars="200" w:firstLine="624"/>
        <w:rPr>
          <w:rFonts w:eastAsia="仿宋_GB2312"/>
          <w:sz w:val="32"/>
          <w:szCs w:val="32"/>
        </w:rPr>
      </w:pPr>
      <w:r w:rsidRPr="0086122D">
        <w:rPr>
          <w:rFonts w:eastAsia="仿宋_GB2312" w:hint="eastAsia"/>
          <w:b/>
          <w:sz w:val="32"/>
          <w:szCs w:val="32"/>
        </w:rPr>
        <w:t xml:space="preserve">2. </w:t>
      </w:r>
      <w:r w:rsidRPr="0086122D">
        <w:rPr>
          <w:rFonts w:eastAsia="仿宋_GB2312"/>
          <w:b/>
          <w:sz w:val="32"/>
          <w:szCs w:val="32"/>
        </w:rPr>
        <w:t>研究内容：</w:t>
      </w:r>
      <w:r w:rsidRPr="006B3FC4">
        <w:rPr>
          <w:rFonts w:eastAsia="仿宋_GB2312" w:hint="eastAsia"/>
          <w:sz w:val="32"/>
          <w:szCs w:val="32"/>
        </w:rPr>
        <w:t>梳理各省国家和省级药品、医疗器械、化妆品、药物滥用监测哨点的数量分布、建设情况以及各监测哨</w:t>
      </w:r>
      <w:proofErr w:type="gramStart"/>
      <w:r w:rsidRPr="006B3FC4">
        <w:rPr>
          <w:rFonts w:eastAsia="仿宋_GB2312" w:hint="eastAsia"/>
          <w:sz w:val="32"/>
          <w:szCs w:val="32"/>
        </w:rPr>
        <w:t>点运行</w:t>
      </w:r>
      <w:proofErr w:type="gramEnd"/>
      <w:r w:rsidRPr="006B3FC4">
        <w:rPr>
          <w:rFonts w:eastAsia="仿宋_GB2312" w:hint="eastAsia"/>
          <w:sz w:val="32"/>
          <w:szCs w:val="32"/>
        </w:rPr>
        <w:t>状态，包括监测哨点报告情况、基本职责、特色工作等。探索建立国家药品不良反应监测哨点评估指标体系，并制定《国家药品不良反应监测哨点管理规范》，在试运行的基础上初步实践管理机制和模式。</w:t>
      </w:r>
    </w:p>
    <w:p w:rsidR="0086122D" w:rsidRPr="007402E0" w:rsidRDefault="0086122D" w:rsidP="0086122D">
      <w:pPr>
        <w:adjustRightInd w:val="0"/>
        <w:snapToGrid w:val="0"/>
        <w:spacing w:line="560" w:lineRule="exact"/>
        <w:ind w:firstLineChars="200" w:firstLine="624"/>
        <w:rPr>
          <w:rFonts w:eastAsia="仿宋_GB2312"/>
          <w:sz w:val="32"/>
          <w:szCs w:val="32"/>
        </w:rPr>
      </w:pPr>
      <w:r w:rsidRPr="0086122D">
        <w:rPr>
          <w:rFonts w:eastAsia="仿宋_GB2312" w:hint="eastAsia"/>
          <w:b/>
          <w:sz w:val="32"/>
          <w:szCs w:val="32"/>
        </w:rPr>
        <w:t xml:space="preserve">3. </w:t>
      </w:r>
      <w:r w:rsidRPr="0086122D">
        <w:rPr>
          <w:rFonts w:eastAsia="仿宋_GB2312"/>
          <w:b/>
          <w:sz w:val="32"/>
          <w:szCs w:val="32"/>
        </w:rPr>
        <w:t>考核指标</w:t>
      </w:r>
      <w:r w:rsidRPr="007402E0">
        <w:rPr>
          <w:rFonts w:eastAsia="仿宋_GB2312"/>
          <w:sz w:val="32"/>
          <w:szCs w:val="32"/>
        </w:rPr>
        <w:t>：</w:t>
      </w:r>
      <w:r w:rsidR="00DC7320">
        <w:rPr>
          <w:rFonts w:ascii="仿宋_GB2312" w:eastAsia="仿宋_GB2312" w:hint="eastAsia"/>
          <w:sz w:val="32"/>
          <w:szCs w:val="32"/>
        </w:rPr>
        <w:t>①</w:t>
      </w:r>
      <w:r w:rsidRPr="007402E0">
        <w:rPr>
          <w:rFonts w:eastAsia="仿宋_GB2312"/>
          <w:sz w:val="32"/>
          <w:szCs w:val="32"/>
        </w:rPr>
        <w:t>国家药品不良反应监测哨点建设及运行情况研究报告；</w:t>
      </w:r>
      <w:r w:rsidR="00DC7320">
        <w:rPr>
          <w:rFonts w:ascii="仿宋_GB2312" w:eastAsia="仿宋_GB2312" w:hint="eastAsia"/>
          <w:sz w:val="32"/>
          <w:szCs w:val="32"/>
        </w:rPr>
        <w:t>②</w:t>
      </w:r>
      <w:r w:rsidRPr="006B3FC4">
        <w:rPr>
          <w:rFonts w:eastAsia="仿宋_GB2312" w:hint="eastAsia"/>
          <w:sz w:val="32"/>
          <w:szCs w:val="32"/>
        </w:rPr>
        <w:t>《国家药品不良反应监测哨点管理指标体系》</w:t>
      </w:r>
      <w:r>
        <w:rPr>
          <w:rFonts w:eastAsia="仿宋_GB2312" w:hint="eastAsia"/>
          <w:sz w:val="32"/>
          <w:szCs w:val="32"/>
        </w:rPr>
        <w:t>；</w:t>
      </w:r>
      <w:r w:rsidR="00DC7320">
        <w:rPr>
          <w:rFonts w:ascii="仿宋_GB2312" w:eastAsia="仿宋_GB2312" w:hint="eastAsia"/>
          <w:sz w:val="32"/>
          <w:szCs w:val="32"/>
        </w:rPr>
        <w:t>③</w:t>
      </w:r>
      <w:r w:rsidRPr="007402E0">
        <w:rPr>
          <w:rFonts w:eastAsia="仿宋_GB2312"/>
          <w:sz w:val="32"/>
          <w:szCs w:val="32"/>
        </w:rPr>
        <w:t>《国家药品不良反应监测哨点管理规范》；</w:t>
      </w:r>
      <w:r w:rsidR="00DC7320">
        <w:rPr>
          <w:rFonts w:ascii="仿宋_GB2312" w:eastAsia="仿宋_GB2312" w:hint="eastAsia"/>
          <w:sz w:val="32"/>
          <w:szCs w:val="32"/>
        </w:rPr>
        <w:t>④</w:t>
      </w:r>
      <w:r w:rsidRPr="007402E0">
        <w:rPr>
          <w:rFonts w:eastAsia="仿宋_GB2312"/>
          <w:sz w:val="32"/>
          <w:szCs w:val="32"/>
        </w:rPr>
        <w:t>国家重点实验室论文</w:t>
      </w:r>
      <w:r w:rsidRPr="007402E0">
        <w:rPr>
          <w:rFonts w:eastAsia="仿宋_GB2312"/>
          <w:sz w:val="32"/>
          <w:szCs w:val="32"/>
        </w:rPr>
        <w:t>1</w:t>
      </w:r>
      <w:r w:rsidR="00D5463B">
        <w:rPr>
          <w:rFonts w:eastAsia="仿宋_GB2312" w:hint="eastAsia"/>
          <w:sz w:val="32"/>
          <w:szCs w:val="32"/>
        </w:rPr>
        <w:t>~</w:t>
      </w:r>
      <w:r w:rsidRPr="007402E0">
        <w:rPr>
          <w:rFonts w:eastAsia="仿宋_GB2312"/>
          <w:sz w:val="32"/>
          <w:szCs w:val="32"/>
        </w:rPr>
        <w:t>2</w:t>
      </w:r>
      <w:r w:rsidRPr="007402E0">
        <w:rPr>
          <w:rFonts w:eastAsia="仿宋_GB2312"/>
          <w:sz w:val="32"/>
          <w:szCs w:val="32"/>
        </w:rPr>
        <w:t>篇。</w:t>
      </w:r>
    </w:p>
    <w:p w:rsidR="0086122D" w:rsidRPr="007402E0" w:rsidRDefault="00D5463B" w:rsidP="00D5463B">
      <w:pPr>
        <w:adjustRightInd w:val="0"/>
        <w:snapToGrid w:val="0"/>
        <w:spacing w:line="560" w:lineRule="exact"/>
        <w:ind w:firstLineChars="200" w:firstLine="624"/>
        <w:rPr>
          <w:rFonts w:eastAsia="仿宋_GB2312"/>
          <w:sz w:val="32"/>
          <w:szCs w:val="32"/>
        </w:rPr>
      </w:pPr>
      <w:r w:rsidRPr="00D5463B">
        <w:rPr>
          <w:rFonts w:eastAsia="仿宋_GB2312" w:hint="eastAsia"/>
          <w:b/>
          <w:sz w:val="32"/>
          <w:szCs w:val="32"/>
        </w:rPr>
        <w:t>4.</w:t>
      </w:r>
      <w:r>
        <w:rPr>
          <w:rFonts w:eastAsia="仿宋_GB2312" w:hint="eastAsia"/>
          <w:b/>
          <w:sz w:val="32"/>
          <w:szCs w:val="32"/>
        </w:rPr>
        <w:t xml:space="preserve"> </w:t>
      </w:r>
      <w:r w:rsidR="0086122D" w:rsidRPr="00D5463B">
        <w:rPr>
          <w:rFonts w:eastAsia="仿宋_GB2312"/>
          <w:b/>
          <w:sz w:val="32"/>
          <w:szCs w:val="32"/>
        </w:rPr>
        <w:t>研究时间：</w:t>
      </w:r>
      <w:r w:rsidR="0086122D" w:rsidRPr="006B3FC4">
        <w:rPr>
          <w:rFonts w:eastAsia="仿宋_GB2312" w:hint="eastAsia"/>
          <w:sz w:val="32"/>
          <w:szCs w:val="32"/>
        </w:rPr>
        <w:t>自签订之日起</w:t>
      </w:r>
      <w:r w:rsidR="0086122D" w:rsidRPr="006B3FC4">
        <w:rPr>
          <w:rFonts w:eastAsia="仿宋_GB2312" w:hint="eastAsia"/>
          <w:sz w:val="32"/>
          <w:szCs w:val="32"/>
        </w:rPr>
        <w:t>1</w:t>
      </w:r>
      <w:r w:rsidR="0086122D">
        <w:rPr>
          <w:rFonts w:eastAsia="仿宋_GB2312" w:hint="eastAsia"/>
          <w:sz w:val="32"/>
          <w:szCs w:val="32"/>
        </w:rPr>
        <w:t>年半。</w:t>
      </w:r>
    </w:p>
    <w:p w:rsidR="0086122D" w:rsidRPr="007402E0" w:rsidRDefault="00D5463B" w:rsidP="00D5463B">
      <w:pPr>
        <w:adjustRightInd w:val="0"/>
        <w:snapToGrid w:val="0"/>
        <w:spacing w:line="560" w:lineRule="exact"/>
        <w:ind w:firstLineChars="200" w:firstLine="624"/>
        <w:rPr>
          <w:rFonts w:eastAsia="仿宋_GB2312"/>
          <w:sz w:val="32"/>
          <w:szCs w:val="32"/>
        </w:rPr>
      </w:pPr>
      <w:r>
        <w:rPr>
          <w:rFonts w:eastAsia="仿宋_GB2312" w:hint="eastAsia"/>
          <w:b/>
          <w:sz w:val="32"/>
          <w:szCs w:val="32"/>
        </w:rPr>
        <w:t xml:space="preserve">5. </w:t>
      </w:r>
      <w:r w:rsidR="0086122D" w:rsidRPr="00D5463B">
        <w:rPr>
          <w:rFonts w:eastAsia="仿宋_GB2312"/>
          <w:b/>
          <w:sz w:val="32"/>
          <w:szCs w:val="32"/>
        </w:rPr>
        <w:t>研究经费：</w:t>
      </w:r>
      <w:r w:rsidR="0086122D" w:rsidRPr="006B3FC4">
        <w:rPr>
          <w:rFonts w:eastAsia="仿宋_GB2312" w:hint="eastAsia"/>
          <w:sz w:val="32"/>
          <w:szCs w:val="32"/>
        </w:rPr>
        <w:t>立项不资助经费。经费由申报单位自筹。</w:t>
      </w:r>
    </w:p>
    <w:p w:rsidR="00DA0D8C" w:rsidRPr="002D36D5" w:rsidRDefault="0074469F" w:rsidP="00D455D1">
      <w:pPr>
        <w:adjustRightInd w:val="0"/>
        <w:snapToGrid w:val="0"/>
        <w:spacing w:beforeLines="50" w:before="289" w:line="560" w:lineRule="exact"/>
        <w:ind w:firstLineChars="100" w:firstLine="312"/>
        <w:rPr>
          <w:rFonts w:eastAsia="仿宋_GB2312"/>
          <w:b/>
          <w:sz w:val="32"/>
          <w:szCs w:val="32"/>
        </w:rPr>
      </w:pPr>
      <w:r w:rsidRPr="002D36D5">
        <w:rPr>
          <w:rFonts w:eastAsia="仿宋_GB2312" w:hint="eastAsia"/>
          <w:b/>
          <w:sz w:val="32"/>
          <w:szCs w:val="32"/>
        </w:rPr>
        <w:t>（二）</w:t>
      </w:r>
      <w:r w:rsidRPr="002D36D5">
        <w:rPr>
          <w:rFonts w:eastAsia="仿宋_GB2312"/>
          <w:b/>
          <w:sz w:val="32"/>
          <w:szCs w:val="32"/>
        </w:rPr>
        <w:t>课题题目：</w:t>
      </w:r>
      <w:r w:rsidR="001C507F" w:rsidRPr="002D36D5">
        <w:rPr>
          <w:rFonts w:eastAsia="仿宋_GB2312" w:hint="eastAsia"/>
          <w:b/>
          <w:sz w:val="32"/>
          <w:szCs w:val="32"/>
        </w:rPr>
        <w:t>国家药品不良反应监测评价技术体系</w:t>
      </w:r>
      <w:r w:rsidR="00833CA3">
        <w:rPr>
          <w:rFonts w:eastAsia="仿宋_GB2312" w:hint="eastAsia"/>
          <w:b/>
          <w:sz w:val="32"/>
          <w:szCs w:val="32"/>
        </w:rPr>
        <w:t>发展</w:t>
      </w:r>
      <w:r w:rsidR="001C507F" w:rsidRPr="002D36D5">
        <w:rPr>
          <w:rFonts w:eastAsia="仿宋_GB2312" w:hint="eastAsia"/>
          <w:b/>
          <w:sz w:val="32"/>
          <w:szCs w:val="32"/>
        </w:rPr>
        <w:t>规划</w:t>
      </w:r>
    </w:p>
    <w:p w:rsidR="002D36D5" w:rsidRDefault="00017B6D" w:rsidP="00B06EB2">
      <w:pPr>
        <w:spacing w:line="540" w:lineRule="exact"/>
        <w:ind w:firstLineChars="200" w:firstLine="624"/>
        <w:rPr>
          <w:rFonts w:eastAsia="仿宋_GB2312"/>
          <w:sz w:val="32"/>
          <w:szCs w:val="28"/>
        </w:rPr>
      </w:pPr>
      <w:r>
        <w:rPr>
          <w:rFonts w:eastAsia="仿宋_GB2312" w:hint="eastAsia"/>
          <w:b/>
          <w:sz w:val="32"/>
          <w:szCs w:val="32"/>
        </w:rPr>
        <w:t>1</w:t>
      </w:r>
      <w:r w:rsidR="00B06EB2" w:rsidRPr="00B06EB2">
        <w:rPr>
          <w:rFonts w:eastAsia="仿宋_GB2312" w:hint="eastAsia"/>
          <w:b/>
          <w:sz w:val="32"/>
          <w:szCs w:val="32"/>
        </w:rPr>
        <w:t>.</w:t>
      </w:r>
      <w:r w:rsidR="003308B4">
        <w:rPr>
          <w:rFonts w:eastAsia="仿宋_GB2312" w:hint="eastAsia"/>
          <w:b/>
          <w:sz w:val="32"/>
          <w:szCs w:val="32"/>
        </w:rPr>
        <w:t xml:space="preserve"> </w:t>
      </w:r>
      <w:r w:rsidR="002D36D5" w:rsidRPr="00B06EB2">
        <w:rPr>
          <w:rFonts w:eastAsia="仿宋_GB2312"/>
          <w:b/>
          <w:sz w:val="32"/>
          <w:szCs w:val="32"/>
        </w:rPr>
        <w:t>立项背景：</w:t>
      </w:r>
      <w:r w:rsidR="002D36D5" w:rsidRPr="006B3FC4">
        <w:rPr>
          <w:rFonts w:eastAsia="仿宋_GB2312" w:hint="eastAsia"/>
          <w:sz w:val="32"/>
          <w:szCs w:val="28"/>
        </w:rPr>
        <w:t xml:space="preserve"> 2020</w:t>
      </w:r>
      <w:r w:rsidR="002D36D5" w:rsidRPr="006B3FC4">
        <w:rPr>
          <w:rFonts w:eastAsia="仿宋_GB2312" w:hint="eastAsia"/>
          <w:sz w:val="32"/>
          <w:szCs w:val="28"/>
        </w:rPr>
        <w:t>年国家药监局</w:t>
      </w:r>
      <w:r w:rsidR="002D36D5">
        <w:rPr>
          <w:rFonts w:eastAsia="仿宋_GB2312" w:hint="eastAsia"/>
          <w:sz w:val="32"/>
          <w:szCs w:val="28"/>
        </w:rPr>
        <w:t>发布《</w:t>
      </w:r>
      <w:r w:rsidR="002D36D5" w:rsidRPr="006B3FC4">
        <w:rPr>
          <w:rFonts w:eastAsia="仿宋_GB2312" w:hint="eastAsia"/>
          <w:sz w:val="32"/>
          <w:szCs w:val="28"/>
        </w:rPr>
        <w:t>关于进一步加强药品不良反应监测评价体系和能力建设的意见》</w:t>
      </w:r>
      <w:r w:rsidR="002D36D5">
        <w:rPr>
          <w:rFonts w:eastAsia="仿宋_GB2312" w:hint="eastAsia"/>
          <w:sz w:val="32"/>
          <w:szCs w:val="28"/>
        </w:rPr>
        <w:t>，提出“进一步加强药品不良反应监测评价机构建设，适应药品监管工作要求，科学制定药品不良反应监测评价技术体系发展规划</w:t>
      </w:r>
      <w:r w:rsidR="002D36D5" w:rsidRPr="006B3FC4">
        <w:rPr>
          <w:rFonts w:eastAsia="仿宋_GB2312" w:hint="eastAsia"/>
          <w:sz w:val="32"/>
          <w:szCs w:val="28"/>
        </w:rPr>
        <w:t>”。</w:t>
      </w:r>
      <w:r w:rsidR="002D36D5" w:rsidRPr="007402E0">
        <w:rPr>
          <w:rFonts w:eastAsia="仿宋_GB2312"/>
          <w:sz w:val="32"/>
          <w:szCs w:val="32"/>
        </w:rPr>
        <w:t>国家药品不良反</w:t>
      </w:r>
      <w:r w:rsidR="002D36D5" w:rsidRPr="007402E0">
        <w:rPr>
          <w:rFonts w:eastAsia="仿宋_GB2312"/>
          <w:sz w:val="32"/>
          <w:szCs w:val="32"/>
        </w:rPr>
        <w:lastRenderedPageBreak/>
        <w:t>应监测</w:t>
      </w:r>
      <w:r w:rsidR="002D36D5">
        <w:rPr>
          <w:rFonts w:eastAsia="仿宋_GB2312" w:hint="eastAsia"/>
          <w:sz w:val="32"/>
          <w:szCs w:val="32"/>
        </w:rPr>
        <w:t>评价技术体系发展规划事关药物警戒体系和能力建设全局，是</w:t>
      </w:r>
      <w:r w:rsidR="002D36D5" w:rsidRPr="00B54ED2">
        <w:rPr>
          <w:rFonts w:eastAsia="仿宋_GB2312" w:hint="eastAsia"/>
          <w:sz w:val="32"/>
          <w:szCs w:val="28"/>
        </w:rPr>
        <w:t>建立健全药物警戒制度、建设国家药物警戒体系、提升技术支撑</w:t>
      </w:r>
      <w:r w:rsidR="002D36D5" w:rsidRPr="00725CFC">
        <w:rPr>
          <w:rFonts w:eastAsia="仿宋_GB2312" w:hint="eastAsia"/>
          <w:sz w:val="32"/>
          <w:szCs w:val="32"/>
        </w:rPr>
        <w:t>能力</w:t>
      </w:r>
      <w:r w:rsidR="002D36D5">
        <w:rPr>
          <w:rFonts w:eastAsia="仿宋_GB2312" w:hint="eastAsia"/>
          <w:sz w:val="32"/>
          <w:szCs w:val="32"/>
        </w:rPr>
        <w:t>的重要保障。</w:t>
      </w:r>
      <w:r w:rsidR="002D36D5" w:rsidRPr="00725CFC">
        <w:rPr>
          <w:rFonts w:eastAsia="仿宋_GB2312" w:hint="eastAsia"/>
          <w:sz w:val="32"/>
          <w:szCs w:val="32"/>
        </w:rPr>
        <w:t>为</w:t>
      </w:r>
      <w:r w:rsidR="002D36D5">
        <w:rPr>
          <w:rFonts w:eastAsia="仿宋_GB2312" w:hint="eastAsia"/>
          <w:sz w:val="32"/>
          <w:szCs w:val="32"/>
        </w:rPr>
        <w:t>做好</w:t>
      </w:r>
      <w:r w:rsidR="002D36D5" w:rsidRPr="00B54ED2">
        <w:rPr>
          <w:rFonts w:eastAsia="仿宋_GB2312" w:hint="eastAsia"/>
          <w:sz w:val="32"/>
          <w:szCs w:val="28"/>
        </w:rPr>
        <w:t>药品不良反应监测评价工作发展的顶层设计和统筹规划，为各级监测机构开展监测评价工作、提升监测评价能力提供技术指导</w:t>
      </w:r>
      <w:r w:rsidR="002D36D5">
        <w:rPr>
          <w:rFonts w:eastAsia="仿宋_GB2312" w:hint="eastAsia"/>
          <w:sz w:val="32"/>
          <w:szCs w:val="28"/>
        </w:rPr>
        <w:t>和方向引领，拟开展</w:t>
      </w:r>
      <w:r w:rsidR="002D36D5" w:rsidRPr="007402E0">
        <w:rPr>
          <w:rFonts w:eastAsia="仿宋_GB2312"/>
          <w:sz w:val="32"/>
          <w:szCs w:val="32"/>
        </w:rPr>
        <w:t>国家药品不良反应监测</w:t>
      </w:r>
      <w:r w:rsidR="002D36D5">
        <w:rPr>
          <w:rFonts w:eastAsia="仿宋_GB2312" w:hint="eastAsia"/>
          <w:sz w:val="32"/>
          <w:szCs w:val="32"/>
        </w:rPr>
        <w:t>评价技术体系发展规划研究。</w:t>
      </w:r>
    </w:p>
    <w:p w:rsidR="002D36D5" w:rsidRDefault="00017B6D" w:rsidP="00B06EB2">
      <w:pPr>
        <w:adjustRightInd w:val="0"/>
        <w:snapToGrid w:val="0"/>
        <w:spacing w:line="540" w:lineRule="exact"/>
        <w:ind w:firstLineChars="200" w:firstLine="624"/>
        <w:rPr>
          <w:rFonts w:eastAsia="仿宋_GB2312"/>
          <w:sz w:val="32"/>
          <w:szCs w:val="32"/>
        </w:rPr>
      </w:pPr>
      <w:r>
        <w:rPr>
          <w:rFonts w:eastAsia="仿宋_GB2312" w:hint="eastAsia"/>
          <w:b/>
          <w:sz w:val="32"/>
          <w:szCs w:val="32"/>
        </w:rPr>
        <w:t>2</w:t>
      </w:r>
      <w:r w:rsidR="00B06EB2" w:rsidRPr="00B06EB2">
        <w:rPr>
          <w:rFonts w:eastAsia="仿宋_GB2312" w:hint="eastAsia"/>
          <w:b/>
          <w:sz w:val="32"/>
          <w:szCs w:val="32"/>
        </w:rPr>
        <w:t>.</w:t>
      </w:r>
      <w:r w:rsidR="003308B4">
        <w:rPr>
          <w:rFonts w:eastAsia="仿宋_GB2312" w:hint="eastAsia"/>
          <w:b/>
          <w:sz w:val="32"/>
          <w:szCs w:val="32"/>
        </w:rPr>
        <w:t xml:space="preserve"> </w:t>
      </w:r>
      <w:r w:rsidR="002D36D5" w:rsidRPr="00B06EB2">
        <w:rPr>
          <w:rFonts w:eastAsia="仿宋_GB2312"/>
          <w:b/>
          <w:sz w:val="32"/>
          <w:szCs w:val="32"/>
        </w:rPr>
        <w:t>研究内容：</w:t>
      </w:r>
      <w:r w:rsidR="002D36D5">
        <w:rPr>
          <w:rFonts w:eastAsia="仿宋_GB2312" w:hint="eastAsia"/>
          <w:sz w:val="32"/>
          <w:szCs w:val="32"/>
        </w:rPr>
        <w:t>梳理全国各级监测评价机构的数量分布、建设情况以及各级监测机构工作开展情况，包括药械</w:t>
      </w:r>
      <w:proofErr w:type="gramStart"/>
      <w:r w:rsidR="002D36D5">
        <w:rPr>
          <w:rFonts w:eastAsia="仿宋_GB2312" w:hint="eastAsia"/>
          <w:sz w:val="32"/>
          <w:szCs w:val="32"/>
        </w:rPr>
        <w:t>妆</w:t>
      </w:r>
      <w:proofErr w:type="gramEnd"/>
      <w:r w:rsidR="002D36D5">
        <w:rPr>
          <w:rFonts w:eastAsia="仿宋_GB2312" w:hint="eastAsia"/>
          <w:sz w:val="32"/>
          <w:szCs w:val="32"/>
        </w:rPr>
        <w:t>监测评价职责履行及特色工作开展等。探讨</w:t>
      </w:r>
      <w:r w:rsidR="002D36D5">
        <w:rPr>
          <w:rFonts w:ascii="仿宋_GB2312" w:eastAsia="仿宋_GB2312" w:hint="eastAsia"/>
          <w:sz w:val="32"/>
          <w:szCs w:val="32"/>
        </w:rPr>
        <w:t>监测</w:t>
      </w:r>
      <w:r w:rsidR="002D36D5" w:rsidRPr="00703CA1">
        <w:rPr>
          <w:rFonts w:ascii="仿宋_GB2312" w:eastAsia="仿宋_GB2312" w:hint="eastAsia"/>
          <w:sz w:val="32"/>
          <w:szCs w:val="32"/>
        </w:rPr>
        <w:t>评价体系的组织构架</w:t>
      </w:r>
      <w:r w:rsidR="002D36D5">
        <w:rPr>
          <w:rFonts w:ascii="仿宋_GB2312" w:eastAsia="仿宋_GB2312" w:hint="eastAsia"/>
          <w:sz w:val="32"/>
          <w:szCs w:val="32"/>
        </w:rPr>
        <w:t>，</w:t>
      </w:r>
      <w:r w:rsidR="002D36D5" w:rsidRPr="00703CA1">
        <w:rPr>
          <w:rFonts w:ascii="仿宋_GB2312" w:eastAsia="仿宋_GB2312" w:hint="eastAsia"/>
          <w:sz w:val="32"/>
          <w:szCs w:val="32"/>
        </w:rPr>
        <w:t>在药物警戒制度中的定位、作用</w:t>
      </w:r>
      <w:r w:rsidR="002D36D5">
        <w:rPr>
          <w:rFonts w:ascii="仿宋_GB2312" w:eastAsia="仿宋_GB2312" w:hint="eastAsia"/>
          <w:sz w:val="32"/>
          <w:szCs w:val="32"/>
        </w:rPr>
        <w:t>与</w:t>
      </w:r>
      <w:r w:rsidR="002D36D5" w:rsidRPr="00703CA1">
        <w:rPr>
          <w:rFonts w:ascii="仿宋_GB2312" w:eastAsia="仿宋_GB2312" w:hint="eastAsia"/>
          <w:sz w:val="32"/>
          <w:szCs w:val="32"/>
        </w:rPr>
        <w:t>功能等</w:t>
      </w:r>
      <w:r w:rsidR="002D36D5">
        <w:rPr>
          <w:rFonts w:ascii="仿宋_GB2312" w:eastAsia="仿宋_GB2312" w:hint="eastAsia"/>
          <w:sz w:val="32"/>
          <w:szCs w:val="32"/>
        </w:rPr>
        <w:t>。</w:t>
      </w:r>
      <w:r w:rsidR="002D36D5">
        <w:rPr>
          <w:rFonts w:eastAsia="仿宋_GB2312" w:hint="eastAsia"/>
          <w:sz w:val="32"/>
          <w:szCs w:val="32"/>
        </w:rPr>
        <w:t>从机构建设、制度建设、队伍建设、方法创新等角度，编制未来</w:t>
      </w:r>
      <w:r w:rsidR="002D36D5">
        <w:rPr>
          <w:rFonts w:eastAsia="仿宋_GB2312" w:hint="eastAsia"/>
          <w:sz w:val="32"/>
          <w:szCs w:val="32"/>
        </w:rPr>
        <w:t>5-10</w:t>
      </w:r>
      <w:r w:rsidR="002D36D5">
        <w:rPr>
          <w:rFonts w:eastAsia="仿宋_GB2312" w:hint="eastAsia"/>
          <w:sz w:val="32"/>
          <w:szCs w:val="32"/>
        </w:rPr>
        <w:t>年内</w:t>
      </w:r>
      <w:r w:rsidR="002D36D5" w:rsidRPr="007402E0">
        <w:rPr>
          <w:rFonts w:eastAsia="仿宋_GB2312"/>
          <w:sz w:val="32"/>
          <w:szCs w:val="32"/>
        </w:rPr>
        <w:t>国家药品不良反应监测</w:t>
      </w:r>
      <w:r w:rsidR="002D36D5">
        <w:rPr>
          <w:rFonts w:eastAsia="仿宋_GB2312" w:hint="eastAsia"/>
          <w:sz w:val="32"/>
          <w:szCs w:val="32"/>
        </w:rPr>
        <w:t>评价技术体系发展规划</w:t>
      </w:r>
      <w:r w:rsidR="002D36D5" w:rsidRPr="003D0720">
        <w:rPr>
          <w:rFonts w:ascii="仿宋_GB2312" w:eastAsia="仿宋_GB2312" w:hAnsi="仿宋" w:hint="eastAsia"/>
          <w:sz w:val="28"/>
          <w:szCs w:val="28"/>
        </w:rPr>
        <w:t>。</w:t>
      </w:r>
    </w:p>
    <w:p w:rsidR="002D36D5" w:rsidRPr="007402E0" w:rsidRDefault="00017B6D" w:rsidP="00B06EB2">
      <w:pPr>
        <w:adjustRightInd w:val="0"/>
        <w:snapToGrid w:val="0"/>
        <w:spacing w:line="540" w:lineRule="exact"/>
        <w:ind w:firstLineChars="200" w:firstLine="624"/>
        <w:rPr>
          <w:rFonts w:eastAsia="仿宋_GB2312"/>
          <w:sz w:val="32"/>
          <w:szCs w:val="32"/>
        </w:rPr>
      </w:pPr>
      <w:r>
        <w:rPr>
          <w:rFonts w:eastAsia="仿宋_GB2312" w:hint="eastAsia"/>
          <w:b/>
          <w:sz w:val="32"/>
          <w:szCs w:val="32"/>
        </w:rPr>
        <w:t>3</w:t>
      </w:r>
      <w:r w:rsidR="00B06EB2">
        <w:rPr>
          <w:rFonts w:eastAsia="仿宋_GB2312" w:hint="eastAsia"/>
          <w:b/>
          <w:sz w:val="32"/>
          <w:szCs w:val="32"/>
        </w:rPr>
        <w:t>.</w:t>
      </w:r>
      <w:r w:rsidR="003308B4">
        <w:rPr>
          <w:rFonts w:eastAsia="仿宋_GB2312" w:hint="eastAsia"/>
          <w:b/>
          <w:sz w:val="32"/>
          <w:szCs w:val="32"/>
        </w:rPr>
        <w:t xml:space="preserve"> </w:t>
      </w:r>
      <w:r w:rsidR="002D36D5" w:rsidRPr="00B06EB2">
        <w:rPr>
          <w:rFonts w:eastAsia="仿宋_GB2312"/>
          <w:b/>
          <w:sz w:val="32"/>
          <w:szCs w:val="32"/>
        </w:rPr>
        <w:t>考核指标：</w:t>
      </w:r>
      <w:r w:rsidR="00797AF5">
        <w:rPr>
          <w:rFonts w:ascii="仿宋_GB2312" w:eastAsia="仿宋_GB2312" w:hint="eastAsia"/>
          <w:sz w:val="32"/>
          <w:szCs w:val="32"/>
        </w:rPr>
        <w:t>①</w:t>
      </w:r>
      <w:r w:rsidR="002D36D5" w:rsidRPr="007402E0">
        <w:rPr>
          <w:rFonts w:eastAsia="仿宋_GB2312"/>
          <w:sz w:val="32"/>
          <w:szCs w:val="32"/>
        </w:rPr>
        <w:t>国家药品不良反应监测</w:t>
      </w:r>
      <w:r w:rsidR="002D36D5">
        <w:rPr>
          <w:rFonts w:eastAsia="仿宋_GB2312" w:hint="eastAsia"/>
          <w:sz w:val="32"/>
          <w:szCs w:val="32"/>
        </w:rPr>
        <w:t>评价技术体系发展规划研究报告</w:t>
      </w:r>
      <w:r w:rsidR="002D36D5" w:rsidRPr="007402E0">
        <w:rPr>
          <w:rFonts w:eastAsia="仿宋_GB2312"/>
          <w:sz w:val="32"/>
          <w:szCs w:val="32"/>
        </w:rPr>
        <w:t>；</w:t>
      </w:r>
      <w:r w:rsidR="00797AF5">
        <w:rPr>
          <w:rFonts w:ascii="仿宋_GB2312" w:eastAsia="仿宋_GB2312" w:hint="eastAsia"/>
          <w:sz w:val="32"/>
          <w:szCs w:val="32"/>
        </w:rPr>
        <w:t>②</w:t>
      </w:r>
      <w:r w:rsidR="002D36D5" w:rsidRPr="006B3FC4">
        <w:rPr>
          <w:rFonts w:eastAsia="仿宋_GB2312" w:hint="eastAsia"/>
          <w:sz w:val="32"/>
          <w:szCs w:val="32"/>
        </w:rPr>
        <w:t>《</w:t>
      </w:r>
      <w:r w:rsidR="002D36D5">
        <w:rPr>
          <w:rFonts w:eastAsia="仿宋_GB2312" w:hint="eastAsia"/>
          <w:sz w:val="32"/>
          <w:szCs w:val="32"/>
        </w:rPr>
        <w:t>2025</w:t>
      </w:r>
      <w:r w:rsidR="00797AF5">
        <w:rPr>
          <w:rFonts w:eastAsia="仿宋_GB2312" w:hint="eastAsia"/>
          <w:sz w:val="32"/>
          <w:szCs w:val="32"/>
        </w:rPr>
        <w:t>~</w:t>
      </w:r>
      <w:r w:rsidR="002D36D5">
        <w:rPr>
          <w:rFonts w:eastAsia="仿宋_GB2312" w:hint="eastAsia"/>
          <w:sz w:val="32"/>
          <w:szCs w:val="32"/>
        </w:rPr>
        <w:t>2030</w:t>
      </w:r>
      <w:r w:rsidR="002D36D5">
        <w:rPr>
          <w:rFonts w:eastAsia="仿宋_GB2312" w:hint="eastAsia"/>
          <w:sz w:val="32"/>
          <w:szCs w:val="32"/>
        </w:rPr>
        <w:t>年</w:t>
      </w:r>
      <w:r w:rsidR="002D36D5" w:rsidRPr="007402E0">
        <w:rPr>
          <w:rFonts w:eastAsia="仿宋_GB2312"/>
          <w:sz w:val="32"/>
          <w:szCs w:val="32"/>
        </w:rPr>
        <w:t>国家药品不良反应监测</w:t>
      </w:r>
      <w:r w:rsidR="002D36D5">
        <w:rPr>
          <w:rFonts w:eastAsia="仿宋_GB2312" w:hint="eastAsia"/>
          <w:sz w:val="32"/>
          <w:szCs w:val="32"/>
        </w:rPr>
        <w:t>评价技术体系发展规划</w:t>
      </w:r>
      <w:r w:rsidR="002D36D5" w:rsidRPr="006B3FC4">
        <w:rPr>
          <w:rFonts w:eastAsia="仿宋_GB2312" w:hint="eastAsia"/>
          <w:sz w:val="32"/>
          <w:szCs w:val="32"/>
        </w:rPr>
        <w:t>》</w:t>
      </w:r>
      <w:r w:rsidR="002D36D5">
        <w:rPr>
          <w:rFonts w:eastAsia="仿宋_GB2312" w:hint="eastAsia"/>
          <w:sz w:val="32"/>
          <w:szCs w:val="32"/>
        </w:rPr>
        <w:t>；</w:t>
      </w:r>
      <w:r w:rsidR="00797AF5">
        <w:rPr>
          <w:rFonts w:ascii="仿宋_GB2312" w:eastAsia="仿宋_GB2312" w:hint="eastAsia"/>
          <w:sz w:val="32"/>
          <w:szCs w:val="32"/>
        </w:rPr>
        <w:t>③</w:t>
      </w:r>
      <w:r w:rsidR="002D36D5" w:rsidRPr="007402E0">
        <w:rPr>
          <w:rFonts w:eastAsia="仿宋_GB2312"/>
          <w:sz w:val="32"/>
          <w:szCs w:val="32"/>
        </w:rPr>
        <w:t>国家重点实验室论文</w:t>
      </w:r>
      <w:r w:rsidR="002D36D5" w:rsidRPr="007402E0">
        <w:rPr>
          <w:rFonts w:eastAsia="仿宋_GB2312"/>
          <w:sz w:val="32"/>
          <w:szCs w:val="32"/>
        </w:rPr>
        <w:t>1</w:t>
      </w:r>
      <w:r w:rsidR="00797AF5">
        <w:rPr>
          <w:rFonts w:eastAsia="仿宋_GB2312" w:hint="eastAsia"/>
          <w:sz w:val="32"/>
          <w:szCs w:val="32"/>
        </w:rPr>
        <w:t>~</w:t>
      </w:r>
      <w:r w:rsidR="002D36D5" w:rsidRPr="007402E0">
        <w:rPr>
          <w:rFonts w:eastAsia="仿宋_GB2312"/>
          <w:sz w:val="32"/>
          <w:szCs w:val="32"/>
        </w:rPr>
        <w:t>2</w:t>
      </w:r>
      <w:r w:rsidR="002D36D5" w:rsidRPr="007402E0">
        <w:rPr>
          <w:rFonts w:eastAsia="仿宋_GB2312"/>
          <w:sz w:val="32"/>
          <w:szCs w:val="32"/>
        </w:rPr>
        <w:t>篇。</w:t>
      </w:r>
    </w:p>
    <w:p w:rsidR="002D36D5" w:rsidRPr="007402E0" w:rsidRDefault="00017B6D" w:rsidP="00B06EB2">
      <w:pPr>
        <w:adjustRightInd w:val="0"/>
        <w:snapToGrid w:val="0"/>
        <w:spacing w:line="540" w:lineRule="exact"/>
        <w:ind w:firstLineChars="200" w:firstLine="624"/>
        <w:rPr>
          <w:rFonts w:eastAsia="仿宋_GB2312"/>
          <w:sz w:val="32"/>
          <w:szCs w:val="32"/>
        </w:rPr>
      </w:pPr>
      <w:r>
        <w:rPr>
          <w:rFonts w:eastAsia="仿宋_GB2312" w:hint="eastAsia"/>
          <w:b/>
          <w:sz w:val="32"/>
          <w:szCs w:val="32"/>
        </w:rPr>
        <w:t>4</w:t>
      </w:r>
      <w:r w:rsidR="003308B4">
        <w:rPr>
          <w:rFonts w:eastAsia="仿宋_GB2312" w:hint="eastAsia"/>
          <w:b/>
          <w:sz w:val="32"/>
          <w:szCs w:val="32"/>
        </w:rPr>
        <w:t xml:space="preserve">. </w:t>
      </w:r>
      <w:r w:rsidR="002D36D5" w:rsidRPr="00B06EB2">
        <w:rPr>
          <w:rFonts w:eastAsia="仿宋_GB2312"/>
          <w:b/>
          <w:sz w:val="32"/>
          <w:szCs w:val="32"/>
        </w:rPr>
        <w:t>研究时间</w:t>
      </w:r>
      <w:r w:rsidR="002D36D5" w:rsidRPr="007402E0">
        <w:rPr>
          <w:rFonts w:eastAsia="仿宋_GB2312"/>
          <w:sz w:val="32"/>
          <w:szCs w:val="32"/>
        </w:rPr>
        <w:t>：</w:t>
      </w:r>
      <w:r w:rsidR="002D36D5" w:rsidRPr="006B3FC4">
        <w:rPr>
          <w:rFonts w:eastAsia="仿宋_GB2312" w:hint="eastAsia"/>
          <w:sz w:val="32"/>
          <w:szCs w:val="32"/>
        </w:rPr>
        <w:t>自签订之日起</w:t>
      </w:r>
      <w:r w:rsidR="002D36D5">
        <w:rPr>
          <w:rFonts w:eastAsia="仿宋_GB2312" w:hint="eastAsia"/>
          <w:sz w:val="32"/>
          <w:szCs w:val="32"/>
        </w:rPr>
        <w:t>2</w:t>
      </w:r>
      <w:r w:rsidR="002D36D5">
        <w:rPr>
          <w:rFonts w:eastAsia="仿宋_GB2312" w:hint="eastAsia"/>
          <w:sz w:val="32"/>
          <w:szCs w:val="32"/>
        </w:rPr>
        <w:t>年。</w:t>
      </w:r>
    </w:p>
    <w:p w:rsidR="002D36D5" w:rsidRPr="007402E0" w:rsidRDefault="00017B6D" w:rsidP="00B06EB2">
      <w:pPr>
        <w:adjustRightInd w:val="0"/>
        <w:snapToGrid w:val="0"/>
        <w:spacing w:line="540" w:lineRule="exact"/>
        <w:ind w:firstLineChars="200" w:firstLine="624"/>
        <w:rPr>
          <w:rFonts w:eastAsia="仿宋_GB2312"/>
          <w:sz w:val="32"/>
          <w:szCs w:val="32"/>
        </w:rPr>
      </w:pPr>
      <w:r>
        <w:rPr>
          <w:rFonts w:eastAsia="仿宋_GB2312" w:hint="eastAsia"/>
          <w:b/>
          <w:sz w:val="32"/>
          <w:szCs w:val="32"/>
        </w:rPr>
        <w:t>5</w:t>
      </w:r>
      <w:r w:rsidR="00B06EB2" w:rsidRPr="00B06EB2">
        <w:rPr>
          <w:rFonts w:eastAsia="仿宋_GB2312" w:hint="eastAsia"/>
          <w:b/>
          <w:sz w:val="32"/>
          <w:szCs w:val="32"/>
        </w:rPr>
        <w:t>.</w:t>
      </w:r>
      <w:r w:rsidR="003308B4">
        <w:rPr>
          <w:rFonts w:eastAsia="仿宋_GB2312" w:hint="eastAsia"/>
          <w:b/>
          <w:sz w:val="32"/>
          <w:szCs w:val="32"/>
        </w:rPr>
        <w:t xml:space="preserve"> </w:t>
      </w:r>
      <w:r w:rsidR="002D36D5" w:rsidRPr="00B06EB2">
        <w:rPr>
          <w:rFonts w:eastAsia="仿宋_GB2312"/>
          <w:b/>
          <w:sz w:val="32"/>
          <w:szCs w:val="32"/>
        </w:rPr>
        <w:t>研究经费：</w:t>
      </w:r>
      <w:r w:rsidR="002D36D5" w:rsidRPr="006B3FC4">
        <w:rPr>
          <w:rFonts w:eastAsia="仿宋_GB2312" w:hint="eastAsia"/>
          <w:sz w:val="32"/>
          <w:szCs w:val="32"/>
        </w:rPr>
        <w:t>立项不资助经费。经费由申报单位自筹。</w:t>
      </w:r>
    </w:p>
    <w:p w:rsidR="00B608AE" w:rsidRDefault="00A80249" w:rsidP="00D455D1">
      <w:pPr>
        <w:spacing w:beforeLines="50" w:before="289"/>
        <w:ind w:firstLineChars="100" w:firstLine="312"/>
        <w:rPr>
          <w:rFonts w:ascii="仿宋" w:eastAsia="仿宋" w:hAnsi="仿宋"/>
          <w:sz w:val="32"/>
          <w:szCs w:val="32"/>
        </w:rPr>
      </w:pPr>
      <w:r w:rsidRPr="00A80249">
        <w:rPr>
          <w:rFonts w:ascii="仿宋" w:eastAsia="仿宋" w:hAnsi="仿宋" w:hint="eastAsia"/>
          <w:b/>
          <w:sz w:val="32"/>
          <w:szCs w:val="32"/>
        </w:rPr>
        <w:t>（三）</w:t>
      </w:r>
      <w:r w:rsidR="00B608AE" w:rsidRPr="0086122D">
        <w:rPr>
          <w:rFonts w:eastAsia="仿宋_GB2312"/>
          <w:b/>
          <w:sz w:val="32"/>
          <w:szCs w:val="32"/>
        </w:rPr>
        <w:t>课题题目：</w:t>
      </w:r>
      <w:r w:rsidR="00B608AE" w:rsidRPr="00B608AE">
        <w:rPr>
          <w:rFonts w:eastAsia="仿宋_GB2312" w:hint="eastAsia"/>
          <w:b/>
          <w:sz w:val="32"/>
          <w:szCs w:val="32"/>
        </w:rPr>
        <w:t>抗肿瘤药物拓展性临床使用不良反应信息汇总指导原则研究</w:t>
      </w:r>
    </w:p>
    <w:p w:rsidR="00B608AE" w:rsidRDefault="00B608AE" w:rsidP="00A243F7">
      <w:pPr>
        <w:ind w:firstLineChars="200" w:firstLine="624"/>
        <w:rPr>
          <w:rFonts w:ascii="仿宋_GB2312" w:eastAsia="仿宋_GB2312"/>
          <w:sz w:val="32"/>
          <w:szCs w:val="32"/>
        </w:rPr>
      </w:pPr>
      <w:r w:rsidRPr="003308B4">
        <w:rPr>
          <w:rFonts w:eastAsia="仿宋_GB2312" w:hint="eastAsia"/>
          <w:b/>
          <w:sz w:val="32"/>
          <w:szCs w:val="32"/>
        </w:rPr>
        <w:t>1.</w:t>
      </w:r>
      <w:r w:rsidRPr="003308B4">
        <w:rPr>
          <w:rFonts w:eastAsia="仿宋_GB2312" w:hint="eastAsia"/>
          <w:b/>
          <w:sz w:val="32"/>
          <w:szCs w:val="32"/>
        </w:rPr>
        <w:t>立项背景</w:t>
      </w:r>
      <w:r w:rsidRPr="00A243F7">
        <w:rPr>
          <w:rFonts w:ascii="仿宋" w:eastAsia="仿宋" w:hAnsi="仿宋" w:hint="eastAsia"/>
          <w:b/>
          <w:sz w:val="32"/>
          <w:szCs w:val="32"/>
        </w:rPr>
        <w:t>：</w:t>
      </w:r>
      <w:r w:rsidRPr="009F520D">
        <w:rPr>
          <w:rFonts w:ascii="仿宋_GB2312" w:eastAsia="仿宋_GB2312" w:hint="eastAsia"/>
          <w:sz w:val="32"/>
          <w:szCs w:val="32"/>
        </w:rPr>
        <w:t>随着肿瘤疾病负担的逐年攀升以及新型抗肿瘤药物的不断推出，抗肿瘤药物</w:t>
      </w:r>
      <w:r>
        <w:rPr>
          <w:rFonts w:ascii="仿宋_GB2312" w:eastAsia="仿宋_GB2312" w:hint="eastAsia"/>
          <w:sz w:val="32"/>
          <w:szCs w:val="32"/>
        </w:rPr>
        <w:t>的</w:t>
      </w:r>
      <w:r w:rsidRPr="009F520D">
        <w:rPr>
          <w:rFonts w:ascii="仿宋_GB2312" w:eastAsia="仿宋_GB2312" w:hint="eastAsia"/>
          <w:sz w:val="32"/>
          <w:szCs w:val="32"/>
        </w:rPr>
        <w:t>拓展性临床使用</w:t>
      </w:r>
      <w:r>
        <w:rPr>
          <w:rFonts w:ascii="仿宋_GB2312" w:eastAsia="仿宋_GB2312" w:hint="eastAsia"/>
          <w:sz w:val="32"/>
          <w:szCs w:val="32"/>
        </w:rPr>
        <w:t>日益增多</w:t>
      </w:r>
      <w:r w:rsidRPr="009F520D">
        <w:rPr>
          <w:rFonts w:ascii="仿宋_GB2312" w:eastAsia="仿宋_GB2312" w:hint="eastAsia"/>
          <w:sz w:val="32"/>
          <w:szCs w:val="32"/>
        </w:rPr>
        <w:t>。2021年，国家卫</w:t>
      </w:r>
      <w:r w:rsidR="004F7EE9">
        <w:rPr>
          <w:rFonts w:ascii="仿宋_GB2312" w:eastAsia="仿宋_GB2312" w:hint="eastAsia"/>
          <w:sz w:val="32"/>
          <w:szCs w:val="32"/>
        </w:rPr>
        <w:t>生</w:t>
      </w:r>
      <w:r w:rsidRPr="009F520D">
        <w:rPr>
          <w:rFonts w:ascii="仿宋_GB2312" w:eastAsia="仿宋_GB2312" w:hint="eastAsia"/>
          <w:sz w:val="32"/>
          <w:szCs w:val="32"/>
        </w:rPr>
        <w:t>健</w:t>
      </w:r>
      <w:r w:rsidR="004F7EE9">
        <w:rPr>
          <w:rFonts w:ascii="仿宋_GB2312" w:eastAsia="仿宋_GB2312" w:hint="eastAsia"/>
          <w:sz w:val="32"/>
          <w:szCs w:val="32"/>
        </w:rPr>
        <w:t>康</w:t>
      </w:r>
      <w:r w:rsidRPr="009F520D">
        <w:rPr>
          <w:rFonts w:ascii="仿宋_GB2312" w:eastAsia="仿宋_GB2312" w:hint="eastAsia"/>
          <w:sz w:val="32"/>
          <w:szCs w:val="32"/>
        </w:rPr>
        <w:t>委在《肿瘤诊疗质量提升行动计划》中提出“（三）</w:t>
      </w:r>
      <w:r w:rsidRPr="009F520D">
        <w:rPr>
          <w:rFonts w:ascii="仿宋_GB2312" w:eastAsia="仿宋_GB2312" w:hint="eastAsia"/>
          <w:sz w:val="32"/>
          <w:szCs w:val="32"/>
        </w:rPr>
        <w:lastRenderedPageBreak/>
        <w:t>规范抗肿瘤药物拓展性应用。......目前说明书、临床应用指导原则、诊疗指南（规范）等未明确相应适应证，但有明确循证医学证据支持能够用于某些肿瘤治疗的药物，在尚无其他更好治疗手段等特殊情况下可以进行拓展性应用。医疗机构要制定完善管理制度，对抗肿瘤药物拓展性应用进行严格管理......”抗肿瘤药物拓展性临床使用在为患者带来更多治疗选择的同时，也将积累大量的拓展性临床使用中的不良反应数据，为上市后不良反应报告和监测提出了新的监管挑战。</w:t>
      </w:r>
      <w:r>
        <w:rPr>
          <w:rFonts w:ascii="仿宋_GB2312" w:eastAsia="仿宋_GB2312" w:hint="eastAsia"/>
          <w:sz w:val="32"/>
          <w:szCs w:val="32"/>
        </w:rPr>
        <w:t>但</w:t>
      </w:r>
      <w:r w:rsidRPr="009F520D">
        <w:rPr>
          <w:rFonts w:ascii="仿宋_GB2312" w:eastAsia="仿宋_GB2312" w:hint="eastAsia"/>
          <w:sz w:val="32"/>
          <w:szCs w:val="32"/>
        </w:rPr>
        <w:t>目前我国药品监督管理部门出台的有关说明书撰写文件中，并未涉及如何在说明书中汇总和呈现</w:t>
      </w:r>
      <w:r>
        <w:rPr>
          <w:rFonts w:ascii="仿宋_GB2312" w:eastAsia="仿宋_GB2312" w:hint="eastAsia"/>
          <w:sz w:val="32"/>
          <w:szCs w:val="32"/>
        </w:rPr>
        <w:t>在上市后</w:t>
      </w:r>
      <w:r w:rsidRPr="009F520D">
        <w:rPr>
          <w:rFonts w:ascii="仿宋_GB2312" w:eastAsia="仿宋_GB2312" w:hint="eastAsia"/>
          <w:sz w:val="32"/>
          <w:szCs w:val="32"/>
        </w:rPr>
        <w:t>拓展性临床使用中获得的不良反应监测数据。因此亟待开展有关研究，基于抗肿瘤药物在我国实际的拓展性临床使用情况，探索适合我国国情的抗肿瘤药物拓展性</w:t>
      </w:r>
      <w:r>
        <w:rPr>
          <w:rFonts w:ascii="仿宋_GB2312" w:eastAsia="仿宋_GB2312" w:hint="eastAsia"/>
          <w:sz w:val="32"/>
          <w:szCs w:val="32"/>
        </w:rPr>
        <w:t>临床使用不良反应信息汇总指导原则</w:t>
      </w:r>
      <w:r w:rsidRPr="009F520D">
        <w:rPr>
          <w:rFonts w:ascii="仿宋_GB2312" w:eastAsia="仿宋_GB2312" w:hint="eastAsia"/>
          <w:sz w:val="32"/>
          <w:szCs w:val="32"/>
        </w:rPr>
        <w:t>，为修订和完善抗肿瘤药物说明书上市后不良反应经验提供参考</w:t>
      </w:r>
      <w:r>
        <w:rPr>
          <w:rFonts w:ascii="仿宋_GB2312" w:eastAsia="仿宋_GB2312" w:hint="eastAsia"/>
          <w:sz w:val="32"/>
          <w:szCs w:val="32"/>
        </w:rPr>
        <w:t>。</w:t>
      </w:r>
    </w:p>
    <w:p w:rsidR="00B608AE" w:rsidRPr="0002263A" w:rsidRDefault="00B608AE" w:rsidP="00A243F7">
      <w:pPr>
        <w:ind w:firstLineChars="200" w:firstLine="624"/>
        <w:rPr>
          <w:rFonts w:ascii="仿宋_GB2312" w:eastAsia="仿宋_GB2312"/>
          <w:sz w:val="32"/>
          <w:szCs w:val="32"/>
        </w:rPr>
      </w:pPr>
      <w:r w:rsidRPr="003308B4">
        <w:rPr>
          <w:rFonts w:eastAsia="仿宋_GB2312" w:hint="eastAsia"/>
          <w:b/>
          <w:sz w:val="32"/>
          <w:szCs w:val="32"/>
        </w:rPr>
        <w:t>2.</w:t>
      </w:r>
      <w:r w:rsidR="003308B4">
        <w:rPr>
          <w:rFonts w:eastAsia="仿宋_GB2312" w:hint="eastAsia"/>
          <w:b/>
          <w:sz w:val="32"/>
          <w:szCs w:val="32"/>
        </w:rPr>
        <w:t xml:space="preserve"> </w:t>
      </w:r>
      <w:r w:rsidRPr="003308B4">
        <w:rPr>
          <w:rFonts w:eastAsia="仿宋_GB2312" w:hint="eastAsia"/>
          <w:b/>
          <w:sz w:val="32"/>
          <w:szCs w:val="32"/>
        </w:rPr>
        <w:t>研究内容：</w:t>
      </w:r>
      <w:r w:rsidRPr="0002263A">
        <w:rPr>
          <w:rFonts w:ascii="仿宋_GB2312" w:eastAsia="仿宋_GB2312" w:hint="eastAsia"/>
          <w:sz w:val="32"/>
          <w:szCs w:val="32"/>
        </w:rPr>
        <w:t>综合使用文献分析、现场调研、</w:t>
      </w:r>
      <w:r w:rsidRPr="0002263A">
        <w:rPr>
          <w:rFonts w:ascii="仿宋_GB2312" w:eastAsia="仿宋_GB2312"/>
          <w:sz w:val="32"/>
          <w:szCs w:val="32"/>
        </w:rPr>
        <w:t>HIS数据分析、专家访谈等定性和定量的调查方法，调查、了解抗肿瘤药物在医</w:t>
      </w:r>
      <w:r w:rsidRPr="0002263A">
        <w:rPr>
          <w:rFonts w:ascii="仿宋_GB2312" w:eastAsia="仿宋_GB2312" w:hint="eastAsia"/>
          <w:sz w:val="32"/>
          <w:szCs w:val="32"/>
        </w:rPr>
        <w:t>疗机构中的拓展性临床使用现况，分析、总结抗肿瘤药物拓展性临床使用不良反应报告和监测中面临的问题和解决办法，提出适合我国国情的抗肿瘤药物拓展性临床使用不良反应信息汇总</w:t>
      </w:r>
      <w:r>
        <w:rPr>
          <w:rFonts w:ascii="仿宋_GB2312" w:eastAsia="仿宋_GB2312" w:hint="eastAsia"/>
          <w:sz w:val="32"/>
          <w:szCs w:val="32"/>
        </w:rPr>
        <w:t>指导</w:t>
      </w:r>
      <w:r w:rsidRPr="0002263A">
        <w:rPr>
          <w:rFonts w:ascii="仿宋_GB2312" w:eastAsia="仿宋_GB2312" w:hint="eastAsia"/>
          <w:sz w:val="32"/>
          <w:szCs w:val="32"/>
        </w:rPr>
        <w:t>原则。</w:t>
      </w:r>
    </w:p>
    <w:p w:rsidR="00B608AE" w:rsidRPr="0002263A" w:rsidRDefault="00B608AE" w:rsidP="00A243F7">
      <w:pPr>
        <w:ind w:firstLineChars="200" w:firstLine="624"/>
        <w:rPr>
          <w:rFonts w:ascii="仿宋_GB2312" w:eastAsia="仿宋_GB2312"/>
          <w:sz w:val="32"/>
          <w:szCs w:val="32"/>
        </w:rPr>
      </w:pPr>
      <w:r w:rsidRPr="003308B4">
        <w:rPr>
          <w:rFonts w:eastAsia="仿宋_GB2312" w:hint="eastAsia"/>
          <w:b/>
          <w:sz w:val="32"/>
          <w:szCs w:val="32"/>
        </w:rPr>
        <w:t>3.</w:t>
      </w:r>
      <w:r w:rsidR="003308B4">
        <w:rPr>
          <w:rFonts w:eastAsia="仿宋_GB2312" w:hint="eastAsia"/>
          <w:b/>
          <w:sz w:val="32"/>
          <w:szCs w:val="32"/>
        </w:rPr>
        <w:t xml:space="preserve"> </w:t>
      </w:r>
      <w:r w:rsidRPr="003308B4">
        <w:rPr>
          <w:rFonts w:eastAsia="仿宋_GB2312" w:hint="eastAsia"/>
          <w:b/>
          <w:sz w:val="32"/>
          <w:szCs w:val="32"/>
        </w:rPr>
        <w:t>考核指标：</w:t>
      </w:r>
      <w:r w:rsidR="00A243F7">
        <w:rPr>
          <w:rFonts w:ascii="仿宋_GB2312" w:eastAsia="仿宋_GB2312" w:hint="eastAsia"/>
          <w:sz w:val="32"/>
          <w:szCs w:val="32"/>
        </w:rPr>
        <w:t>①</w:t>
      </w:r>
      <w:r w:rsidRPr="0002263A">
        <w:rPr>
          <w:rFonts w:ascii="仿宋_GB2312" w:eastAsia="仿宋_GB2312" w:hint="eastAsia"/>
          <w:sz w:val="32"/>
          <w:szCs w:val="32"/>
        </w:rPr>
        <w:t>抗肿瘤药物拓展性临床使用情况及不良反应报告和监测工作现况研究报告</w:t>
      </w:r>
      <w:r>
        <w:rPr>
          <w:rFonts w:ascii="仿宋_GB2312" w:eastAsia="仿宋_GB2312" w:hint="eastAsia"/>
          <w:sz w:val="32"/>
          <w:szCs w:val="32"/>
        </w:rPr>
        <w:t>（可以用2</w:t>
      </w:r>
      <w:r>
        <w:rPr>
          <w:rFonts w:ascii="仿宋_GB2312" w:eastAsia="仿宋_GB2312" w:hint="eastAsia"/>
          <w:sz w:val="32"/>
          <w:szCs w:val="32"/>
        </w:rPr>
        <w:sym w:font="Symbol" w:char="F07E"/>
      </w:r>
      <w:r>
        <w:rPr>
          <w:rFonts w:ascii="仿宋_GB2312" w:eastAsia="仿宋_GB2312" w:hint="eastAsia"/>
          <w:sz w:val="32"/>
          <w:szCs w:val="32"/>
        </w:rPr>
        <w:t>3个拓展性临床使用较</w:t>
      </w:r>
      <w:r>
        <w:rPr>
          <w:rFonts w:ascii="仿宋_GB2312" w:eastAsia="仿宋_GB2312" w:hint="eastAsia"/>
          <w:sz w:val="32"/>
          <w:szCs w:val="32"/>
        </w:rPr>
        <w:lastRenderedPageBreak/>
        <w:t>多的品种为案例）；</w:t>
      </w:r>
      <w:r w:rsidR="00A243F7">
        <w:rPr>
          <w:rFonts w:ascii="仿宋_GB2312" w:eastAsia="仿宋_GB2312" w:hint="eastAsia"/>
          <w:sz w:val="32"/>
          <w:szCs w:val="32"/>
        </w:rPr>
        <w:t>②</w:t>
      </w:r>
      <w:r w:rsidRPr="0002263A">
        <w:rPr>
          <w:rFonts w:ascii="仿宋_GB2312" w:eastAsia="仿宋_GB2312" w:hint="eastAsia"/>
          <w:sz w:val="32"/>
          <w:szCs w:val="32"/>
        </w:rPr>
        <w:t>抗肿瘤药物拓展性临床使用不良反应信息汇总</w:t>
      </w:r>
      <w:r>
        <w:rPr>
          <w:rFonts w:ascii="仿宋_GB2312" w:eastAsia="仿宋_GB2312" w:hint="eastAsia"/>
          <w:sz w:val="32"/>
          <w:szCs w:val="32"/>
        </w:rPr>
        <w:t>指导</w:t>
      </w:r>
      <w:r w:rsidRPr="0002263A">
        <w:rPr>
          <w:rFonts w:ascii="仿宋_GB2312" w:eastAsia="仿宋_GB2312" w:hint="eastAsia"/>
          <w:sz w:val="32"/>
          <w:szCs w:val="32"/>
        </w:rPr>
        <w:t>原则（草案）。</w:t>
      </w:r>
    </w:p>
    <w:p w:rsidR="00B608AE" w:rsidRDefault="00B608AE" w:rsidP="00C41F7B">
      <w:pPr>
        <w:ind w:firstLineChars="200" w:firstLine="624"/>
        <w:rPr>
          <w:rFonts w:ascii="仿宋" w:eastAsia="仿宋_GB2312" w:hAnsi="仿宋"/>
          <w:sz w:val="32"/>
          <w:szCs w:val="32"/>
        </w:rPr>
      </w:pPr>
      <w:r w:rsidRPr="003308B4">
        <w:rPr>
          <w:rFonts w:eastAsia="仿宋_GB2312" w:hint="eastAsia"/>
          <w:b/>
          <w:sz w:val="32"/>
          <w:szCs w:val="32"/>
        </w:rPr>
        <w:t>4.</w:t>
      </w:r>
      <w:r w:rsidR="003308B4">
        <w:rPr>
          <w:rFonts w:eastAsia="仿宋_GB2312" w:hint="eastAsia"/>
          <w:b/>
          <w:sz w:val="32"/>
          <w:szCs w:val="32"/>
        </w:rPr>
        <w:t xml:space="preserve"> </w:t>
      </w:r>
      <w:r w:rsidRPr="003308B4">
        <w:rPr>
          <w:rFonts w:eastAsia="仿宋_GB2312" w:hint="eastAsia"/>
          <w:b/>
          <w:sz w:val="32"/>
          <w:szCs w:val="32"/>
        </w:rPr>
        <w:t>研究时间：</w:t>
      </w:r>
      <w:r>
        <w:rPr>
          <w:rFonts w:ascii="仿宋_GB2312" w:eastAsia="仿宋_GB2312" w:hAnsi="仿宋" w:cs="仿宋" w:hint="eastAsia"/>
          <w:sz w:val="32"/>
          <w:szCs w:val="32"/>
        </w:rPr>
        <w:t>自签订之日起1年。</w:t>
      </w:r>
    </w:p>
    <w:p w:rsidR="00B608AE" w:rsidRDefault="00B608AE" w:rsidP="00C41F7B">
      <w:pPr>
        <w:ind w:firstLineChars="200" w:firstLine="624"/>
        <w:rPr>
          <w:rFonts w:ascii="仿宋" w:eastAsia="仿宋_GB2312" w:hAnsi="仿宋"/>
          <w:sz w:val="32"/>
          <w:szCs w:val="32"/>
        </w:rPr>
      </w:pPr>
      <w:r w:rsidRPr="003308B4">
        <w:rPr>
          <w:rFonts w:eastAsia="仿宋_GB2312" w:hint="eastAsia"/>
          <w:b/>
          <w:sz w:val="32"/>
          <w:szCs w:val="32"/>
        </w:rPr>
        <w:t>5.</w:t>
      </w:r>
      <w:r w:rsidR="003308B4">
        <w:rPr>
          <w:rFonts w:eastAsia="仿宋_GB2312" w:hint="eastAsia"/>
          <w:b/>
          <w:sz w:val="32"/>
          <w:szCs w:val="32"/>
        </w:rPr>
        <w:t xml:space="preserve"> </w:t>
      </w:r>
      <w:r w:rsidRPr="003308B4">
        <w:rPr>
          <w:rFonts w:eastAsia="仿宋_GB2312" w:hint="eastAsia"/>
          <w:b/>
          <w:sz w:val="32"/>
          <w:szCs w:val="32"/>
        </w:rPr>
        <w:t>研究经费：</w:t>
      </w:r>
      <w:r>
        <w:rPr>
          <w:rFonts w:ascii="仿宋_GB2312" w:eastAsia="仿宋_GB2312" w:hAnsi="仿宋" w:cs="仿宋" w:hint="eastAsia"/>
          <w:sz w:val="32"/>
          <w:szCs w:val="32"/>
        </w:rPr>
        <w:t>立项不资助经费。经费由申报单位自筹。</w:t>
      </w:r>
    </w:p>
    <w:p w:rsidR="00FB46C9" w:rsidRPr="00FB46C9" w:rsidRDefault="00FB46C9" w:rsidP="000761E8">
      <w:pPr>
        <w:spacing w:line="588" w:lineRule="exact"/>
        <w:ind w:firstLine="621"/>
        <w:rPr>
          <w:rFonts w:ascii="仿宋_GB2312" w:eastAsia="仿宋_GB2312" w:hAnsi="仿宋" w:cs="仿宋"/>
          <w:sz w:val="32"/>
          <w:szCs w:val="32"/>
          <w:highlight w:val="yellow"/>
        </w:rPr>
      </w:pPr>
    </w:p>
    <w:p w:rsidR="00DA0D8C" w:rsidRDefault="00DA0D8C">
      <w:pPr>
        <w:spacing w:line="588" w:lineRule="exact"/>
        <w:ind w:firstLine="621"/>
        <w:rPr>
          <w:rFonts w:ascii="仿宋_GB2312" w:eastAsia="仿宋_GB2312" w:hAnsi="仿宋" w:cs="仿宋"/>
          <w:sz w:val="32"/>
          <w:szCs w:val="32"/>
        </w:rPr>
      </w:pPr>
    </w:p>
    <w:sectPr w:rsidR="00DA0D8C">
      <w:footerReference w:type="even" r:id="rId8"/>
      <w:footerReference w:type="default" r:id="rId9"/>
      <w:pgSz w:w="11906" w:h="16838"/>
      <w:pgMar w:top="2098" w:right="1474" w:bottom="1985" w:left="1588" w:header="851" w:footer="1588" w:gutter="0"/>
      <w:pgNumType w:fmt="numberInDash" w:start="5"/>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173" w:rsidRDefault="009F3173">
      <w:r>
        <w:separator/>
      </w:r>
    </w:p>
  </w:endnote>
  <w:endnote w:type="continuationSeparator" w:id="0">
    <w:p w:rsidR="009F3173" w:rsidRDefault="009F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8C" w:rsidRDefault="00AC39CB">
    <w:pPr>
      <w:pStyle w:val="aa"/>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rsidR="00DA0D8C" w:rsidRDefault="00DA0D8C">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8C" w:rsidRDefault="00AC39CB">
    <w:pPr>
      <w:pStyle w:val="aa"/>
      <w:framePr w:w="1588" w:wrap="notBeside" w:vAnchor="text" w:hAnchor="margin" w:xAlign="outside" w:y="1"/>
      <w:ind w:firstLineChars="100" w:firstLine="280"/>
      <w:rPr>
        <w:rStyle w:val="ae"/>
        <w:sz w:val="28"/>
      </w:rPr>
    </w:pPr>
    <w:r>
      <w:rPr>
        <w:rStyle w:val="ae"/>
        <w:rFonts w:ascii="仿宋_GB2312"/>
        <w:sz w:val="28"/>
      </w:rPr>
      <w:fldChar w:fldCharType="begin"/>
    </w:r>
    <w:r>
      <w:rPr>
        <w:rStyle w:val="ae"/>
        <w:rFonts w:ascii="仿宋_GB2312"/>
        <w:sz w:val="28"/>
      </w:rPr>
      <w:instrText xml:space="preserve">PAGE  </w:instrText>
    </w:r>
    <w:r>
      <w:rPr>
        <w:rStyle w:val="ae"/>
        <w:rFonts w:ascii="仿宋_GB2312"/>
        <w:sz w:val="28"/>
      </w:rPr>
      <w:fldChar w:fldCharType="separate"/>
    </w:r>
    <w:r w:rsidR="00D455D1">
      <w:rPr>
        <w:rStyle w:val="ae"/>
        <w:rFonts w:ascii="仿宋_GB2312"/>
        <w:noProof/>
        <w:sz w:val="28"/>
      </w:rPr>
      <w:t>- 9 -</w:t>
    </w:r>
    <w:r>
      <w:rPr>
        <w:rStyle w:val="ae"/>
        <w:rFonts w:ascii="仿宋_GB2312"/>
        <w:sz w:val="28"/>
      </w:rPr>
      <w:fldChar w:fldCharType="end"/>
    </w:r>
  </w:p>
  <w:p w:rsidR="00DA0D8C" w:rsidRDefault="00DA0D8C">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173" w:rsidRDefault="009F3173">
      <w:r>
        <w:separator/>
      </w:r>
    </w:p>
  </w:footnote>
  <w:footnote w:type="continuationSeparator" w:id="0">
    <w:p w:rsidR="009F3173" w:rsidRDefault="009F317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董铎">
    <w15:presenceInfo w15:providerId="None" w15:userId="董铎"/>
  </w15:person>
  <w15:person w15:author="彭丽丽">
    <w15:presenceInfo w15:providerId="None" w15:userId="彭丽丽"/>
  </w15:person>
  <w15:person w15:author="齐玲艳">
    <w15:presenceInfo w15:providerId="None" w15:userId="齐玲艳"/>
  </w15:person>
  <w15:person w15:author="Lily">
    <w15:presenceInfo w15:providerId="WPS Office" w15:userId="3363272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HorizontalSpacing w:val="0"/>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9C8"/>
    <w:rsid w:val="00017B6D"/>
    <w:rsid w:val="00033051"/>
    <w:rsid w:val="00033366"/>
    <w:rsid w:val="00034E94"/>
    <w:rsid w:val="00037A3E"/>
    <w:rsid w:val="000504AF"/>
    <w:rsid w:val="00052E5B"/>
    <w:rsid w:val="000541EB"/>
    <w:rsid w:val="00055D21"/>
    <w:rsid w:val="00062213"/>
    <w:rsid w:val="00064553"/>
    <w:rsid w:val="00072CC1"/>
    <w:rsid w:val="000752D7"/>
    <w:rsid w:val="000761E8"/>
    <w:rsid w:val="000822DB"/>
    <w:rsid w:val="00086815"/>
    <w:rsid w:val="00086A28"/>
    <w:rsid w:val="00095628"/>
    <w:rsid w:val="000960A7"/>
    <w:rsid w:val="00096B16"/>
    <w:rsid w:val="000A5ADE"/>
    <w:rsid w:val="000B22F4"/>
    <w:rsid w:val="000B6849"/>
    <w:rsid w:val="000B7B75"/>
    <w:rsid w:val="000C3B1B"/>
    <w:rsid w:val="000C425C"/>
    <w:rsid w:val="000C6E29"/>
    <w:rsid w:val="000D0B0D"/>
    <w:rsid w:val="000F187E"/>
    <w:rsid w:val="000F47D1"/>
    <w:rsid w:val="000F6B40"/>
    <w:rsid w:val="00102AFF"/>
    <w:rsid w:val="0010476B"/>
    <w:rsid w:val="00111328"/>
    <w:rsid w:val="00115267"/>
    <w:rsid w:val="00125DA5"/>
    <w:rsid w:val="00142390"/>
    <w:rsid w:val="00157826"/>
    <w:rsid w:val="00170F3F"/>
    <w:rsid w:val="00172A27"/>
    <w:rsid w:val="00173875"/>
    <w:rsid w:val="00185F5D"/>
    <w:rsid w:val="00194655"/>
    <w:rsid w:val="001B2242"/>
    <w:rsid w:val="001C09A8"/>
    <w:rsid w:val="001C1355"/>
    <w:rsid w:val="001C507F"/>
    <w:rsid w:val="001C74E0"/>
    <w:rsid w:val="001C7DC1"/>
    <w:rsid w:val="001D22C0"/>
    <w:rsid w:val="001D6F42"/>
    <w:rsid w:val="001D712B"/>
    <w:rsid w:val="001E1E8A"/>
    <w:rsid w:val="001E3D79"/>
    <w:rsid w:val="001E6864"/>
    <w:rsid w:val="001F327F"/>
    <w:rsid w:val="00201BC5"/>
    <w:rsid w:val="00204934"/>
    <w:rsid w:val="00212A5A"/>
    <w:rsid w:val="0022069E"/>
    <w:rsid w:val="00222CF1"/>
    <w:rsid w:val="00226A89"/>
    <w:rsid w:val="0024105F"/>
    <w:rsid w:val="00242E01"/>
    <w:rsid w:val="00253496"/>
    <w:rsid w:val="0026114A"/>
    <w:rsid w:val="002646AA"/>
    <w:rsid w:val="00274546"/>
    <w:rsid w:val="002767A8"/>
    <w:rsid w:val="00276D38"/>
    <w:rsid w:val="0027732B"/>
    <w:rsid w:val="002801FF"/>
    <w:rsid w:val="0029367C"/>
    <w:rsid w:val="00294A70"/>
    <w:rsid w:val="002A3ECC"/>
    <w:rsid w:val="002A65C1"/>
    <w:rsid w:val="002C2FF7"/>
    <w:rsid w:val="002C3F59"/>
    <w:rsid w:val="002D36D5"/>
    <w:rsid w:val="002D675A"/>
    <w:rsid w:val="002E22C8"/>
    <w:rsid w:val="002F0FDA"/>
    <w:rsid w:val="002F5597"/>
    <w:rsid w:val="003042BE"/>
    <w:rsid w:val="00306032"/>
    <w:rsid w:val="00307362"/>
    <w:rsid w:val="00310BAC"/>
    <w:rsid w:val="00312C9C"/>
    <w:rsid w:val="003308B4"/>
    <w:rsid w:val="00331422"/>
    <w:rsid w:val="003427EB"/>
    <w:rsid w:val="00355218"/>
    <w:rsid w:val="00355BC6"/>
    <w:rsid w:val="00377C47"/>
    <w:rsid w:val="00377C99"/>
    <w:rsid w:val="00390139"/>
    <w:rsid w:val="0039304D"/>
    <w:rsid w:val="00394D76"/>
    <w:rsid w:val="003953B9"/>
    <w:rsid w:val="003A19C4"/>
    <w:rsid w:val="003B0359"/>
    <w:rsid w:val="003B45FE"/>
    <w:rsid w:val="003D3F13"/>
    <w:rsid w:val="003E1599"/>
    <w:rsid w:val="003E459B"/>
    <w:rsid w:val="00430785"/>
    <w:rsid w:val="00433FA3"/>
    <w:rsid w:val="00445A0A"/>
    <w:rsid w:val="00452F01"/>
    <w:rsid w:val="004559DD"/>
    <w:rsid w:val="004614B7"/>
    <w:rsid w:val="004708F2"/>
    <w:rsid w:val="00475FCA"/>
    <w:rsid w:val="004924DE"/>
    <w:rsid w:val="004D0189"/>
    <w:rsid w:val="004D2B04"/>
    <w:rsid w:val="004D3127"/>
    <w:rsid w:val="004D3465"/>
    <w:rsid w:val="004D36F9"/>
    <w:rsid w:val="004E53DB"/>
    <w:rsid w:val="004F7EE9"/>
    <w:rsid w:val="00501082"/>
    <w:rsid w:val="0050214F"/>
    <w:rsid w:val="00506119"/>
    <w:rsid w:val="00530C4E"/>
    <w:rsid w:val="00531B3E"/>
    <w:rsid w:val="0053564C"/>
    <w:rsid w:val="00536E42"/>
    <w:rsid w:val="00540A5D"/>
    <w:rsid w:val="00544267"/>
    <w:rsid w:val="00553055"/>
    <w:rsid w:val="00553328"/>
    <w:rsid w:val="00554244"/>
    <w:rsid w:val="00555EE0"/>
    <w:rsid w:val="00561E05"/>
    <w:rsid w:val="00577FAE"/>
    <w:rsid w:val="005A1641"/>
    <w:rsid w:val="005A22CB"/>
    <w:rsid w:val="005A2C1B"/>
    <w:rsid w:val="005B71A2"/>
    <w:rsid w:val="005B740D"/>
    <w:rsid w:val="005D4C11"/>
    <w:rsid w:val="005F0A37"/>
    <w:rsid w:val="005F7C16"/>
    <w:rsid w:val="005F7D74"/>
    <w:rsid w:val="005F7F8B"/>
    <w:rsid w:val="0060102D"/>
    <w:rsid w:val="00602EFE"/>
    <w:rsid w:val="006100E2"/>
    <w:rsid w:val="006175CA"/>
    <w:rsid w:val="00630F99"/>
    <w:rsid w:val="0063119B"/>
    <w:rsid w:val="00631B00"/>
    <w:rsid w:val="00641397"/>
    <w:rsid w:val="00642509"/>
    <w:rsid w:val="00644295"/>
    <w:rsid w:val="00653F23"/>
    <w:rsid w:val="00665434"/>
    <w:rsid w:val="00665C38"/>
    <w:rsid w:val="00682222"/>
    <w:rsid w:val="006830CD"/>
    <w:rsid w:val="006A001C"/>
    <w:rsid w:val="006A365E"/>
    <w:rsid w:val="006B0AD2"/>
    <w:rsid w:val="006B17BA"/>
    <w:rsid w:val="006B4720"/>
    <w:rsid w:val="006C2BDE"/>
    <w:rsid w:val="006D5A89"/>
    <w:rsid w:val="006E01FE"/>
    <w:rsid w:val="006E2518"/>
    <w:rsid w:val="006E51AD"/>
    <w:rsid w:val="006F010B"/>
    <w:rsid w:val="006F673B"/>
    <w:rsid w:val="00700B25"/>
    <w:rsid w:val="0072518C"/>
    <w:rsid w:val="0074071A"/>
    <w:rsid w:val="0074469F"/>
    <w:rsid w:val="00752FC0"/>
    <w:rsid w:val="0075572A"/>
    <w:rsid w:val="007669F7"/>
    <w:rsid w:val="007671DB"/>
    <w:rsid w:val="007679D7"/>
    <w:rsid w:val="0077064A"/>
    <w:rsid w:val="0077070B"/>
    <w:rsid w:val="007727C7"/>
    <w:rsid w:val="007739DD"/>
    <w:rsid w:val="0077792F"/>
    <w:rsid w:val="00782CF7"/>
    <w:rsid w:val="007862E2"/>
    <w:rsid w:val="007903D4"/>
    <w:rsid w:val="00794E9F"/>
    <w:rsid w:val="00797AF5"/>
    <w:rsid w:val="007B412F"/>
    <w:rsid w:val="007B6364"/>
    <w:rsid w:val="007B67B1"/>
    <w:rsid w:val="007C2DE4"/>
    <w:rsid w:val="007C4F05"/>
    <w:rsid w:val="007C509B"/>
    <w:rsid w:val="007C60FD"/>
    <w:rsid w:val="007C7D3D"/>
    <w:rsid w:val="007E22E1"/>
    <w:rsid w:val="007F0DC2"/>
    <w:rsid w:val="007F45DA"/>
    <w:rsid w:val="00804700"/>
    <w:rsid w:val="00806336"/>
    <w:rsid w:val="00813210"/>
    <w:rsid w:val="0082515F"/>
    <w:rsid w:val="00826F13"/>
    <w:rsid w:val="00830349"/>
    <w:rsid w:val="00831116"/>
    <w:rsid w:val="00833CA3"/>
    <w:rsid w:val="00834EF3"/>
    <w:rsid w:val="00843B2C"/>
    <w:rsid w:val="008459D8"/>
    <w:rsid w:val="00847EC0"/>
    <w:rsid w:val="00855834"/>
    <w:rsid w:val="0086122D"/>
    <w:rsid w:val="00863FE1"/>
    <w:rsid w:val="00866877"/>
    <w:rsid w:val="00874E1E"/>
    <w:rsid w:val="0087577D"/>
    <w:rsid w:val="0088400C"/>
    <w:rsid w:val="00885A39"/>
    <w:rsid w:val="00885FBA"/>
    <w:rsid w:val="00886594"/>
    <w:rsid w:val="00892142"/>
    <w:rsid w:val="0089512B"/>
    <w:rsid w:val="0089569A"/>
    <w:rsid w:val="008973A0"/>
    <w:rsid w:val="008A6201"/>
    <w:rsid w:val="008A697D"/>
    <w:rsid w:val="008C2F2C"/>
    <w:rsid w:val="008C424E"/>
    <w:rsid w:val="008C75FC"/>
    <w:rsid w:val="008D006C"/>
    <w:rsid w:val="008D29C6"/>
    <w:rsid w:val="008D2E2D"/>
    <w:rsid w:val="008D4206"/>
    <w:rsid w:val="008D6C4D"/>
    <w:rsid w:val="008F5E27"/>
    <w:rsid w:val="00926FD5"/>
    <w:rsid w:val="0093041C"/>
    <w:rsid w:val="00947C11"/>
    <w:rsid w:val="009601BF"/>
    <w:rsid w:val="009641AA"/>
    <w:rsid w:val="00984420"/>
    <w:rsid w:val="009867CD"/>
    <w:rsid w:val="009977B2"/>
    <w:rsid w:val="009A0593"/>
    <w:rsid w:val="009A0F0C"/>
    <w:rsid w:val="009B0183"/>
    <w:rsid w:val="009B5B35"/>
    <w:rsid w:val="009B748A"/>
    <w:rsid w:val="009D71ED"/>
    <w:rsid w:val="009E3F64"/>
    <w:rsid w:val="009E6089"/>
    <w:rsid w:val="009F0FE0"/>
    <w:rsid w:val="009F1AFA"/>
    <w:rsid w:val="009F3173"/>
    <w:rsid w:val="009F5A13"/>
    <w:rsid w:val="009F68F3"/>
    <w:rsid w:val="009F71A6"/>
    <w:rsid w:val="00A243F7"/>
    <w:rsid w:val="00A26C1D"/>
    <w:rsid w:val="00A35330"/>
    <w:rsid w:val="00A61CF7"/>
    <w:rsid w:val="00A64306"/>
    <w:rsid w:val="00A64428"/>
    <w:rsid w:val="00A72B80"/>
    <w:rsid w:val="00A80249"/>
    <w:rsid w:val="00A853FB"/>
    <w:rsid w:val="00A87089"/>
    <w:rsid w:val="00A872AD"/>
    <w:rsid w:val="00A906C3"/>
    <w:rsid w:val="00A93D6F"/>
    <w:rsid w:val="00A961FC"/>
    <w:rsid w:val="00AA1CA6"/>
    <w:rsid w:val="00AC39CB"/>
    <w:rsid w:val="00AD7F70"/>
    <w:rsid w:val="00AE0E69"/>
    <w:rsid w:val="00AE6F70"/>
    <w:rsid w:val="00AE71AD"/>
    <w:rsid w:val="00AF48F8"/>
    <w:rsid w:val="00B06EB2"/>
    <w:rsid w:val="00B12F57"/>
    <w:rsid w:val="00B27163"/>
    <w:rsid w:val="00B3454A"/>
    <w:rsid w:val="00B3569D"/>
    <w:rsid w:val="00B37314"/>
    <w:rsid w:val="00B42218"/>
    <w:rsid w:val="00B608AE"/>
    <w:rsid w:val="00B651F5"/>
    <w:rsid w:val="00B71D9C"/>
    <w:rsid w:val="00B75B6B"/>
    <w:rsid w:val="00B760B9"/>
    <w:rsid w:val="00B81474"/>
    <w:rsid w:val="00B844C2"/>
    <w:rsid w:val="00BA0A6C"/>
    <w:rsid w:val="00BB1A3F"/>
    <w:rsid w:val="00BB3E15"/>
    <w:rsid w:val="00BC472E"/>
    <w:rsid w:val="00BC74B1"/>
    <w:rsid w:val="00BC792C"/>
    <w:rsid w:val="00BD4D52"/>
    <w:rsid w:val="00BE56D6"/>
    <w:rsid w:val="00BF333B"/>
    <w:rsid w:val="00BF792B"/>
    <w:rsid w:val="00C121EB"/>
    <w:rsid w:val="00C159E5"/>
    <w:rsid w:val="00C16349"/>
    <w:rsid w:val="00C173C9"/>
    <w:rsid w:val="00C21294"/>
    <w:rsid w:val="00C30B2B"/>
    <w:rsid w:val="00C328AA"/>
    <w:rsid w:val="00C3597E"/>
    <w:rsid w:val="00C40EC1"/>
    <w:rsid w:val="00C41F7B"/>
    <w:rsid w:val="00C43618"/>
    <w:rsid w:val="00C65CE8"/>
    <w:rsid w:val="00C6759A"/>
    <w:rsid w:val="00C75476"/>
    <w:rsid w:val="00C76DA9"/>
    <w:rsid w:val="00C82E50"/>
    <w:rsid w:val="00C86C03"/>
    <w:rsid w:val="00C90989"/>
    <w:rsid w:val="00C91A22"/>
    <w:rsid w:val="00C96CDE"/>
    <w:rsid w:val="00CA4CF6"/>
    <w:rsid w:val="00CB0EB7"/>
    <w:rsid w:val="00CB3B15"/>
    <w:rsid w:val="00CB6284"/>
    <w:rsid w:val="00CB67FA"/>
    <w:rsid w:val="00CC3DB1"/>
    <w:rsid w:val="00CC7C1D"/>
    <w:rsid w:val="00CE4426"/>
    <w:rsid w:val="00CE6390"/>
    <w:rsid w:val="00CF0504"/>
    <w:rsid w:val="00CF2D6E"/>
    <w:rsid w:val="00CF43D4"/>
    <w:rsid w:val="00CF5949"/>
    <w:rsid w:val="00CF6FC9"/>
    <w:rsid w:val="00D0790D"/>
    <w:rsid w:val="00D139D3"/>
    <w:rsid w:val="00D14940"/>
    <w:rsid w:val="00D16C8D"/>
    <w:rsid w:val="00D21093"/>
    <w:rsid w:val="00D22939"/>
    <w:rsid w:val="00D255C8"/>
    <w:rsid w:val="00D359C9"/>
    <w:rsid w:val="00D450E7"/>
    <w:rsid w:val="00D455D1"/>
    <w:rsid w:val="00D521F3"/>
    <w:rsid w:val="00D52CD3"/>
    <w:rsid w:val="00D5463B"/>
    <w:rsid w:val="00D6171F"/>
    <w:rsid w:val="00D74452"/>
    <w:rsid w:val="00D93E8E"/>
    <w:rsid w:val="00DA0D8C"/>
    <w:rsid w:val="00DA2A38"/>
    <w:rsid w:val="00DA4110"/>
    <w:rsid w:val="00DA7A4B"/>
    <w:rsid w:val="00DB2D9C"/>
    <w:rsid w:val="00DC1225"/>
    <w:rsid w:val="00DC4B62"/>
    <w:rsid w:val="00DC7320"/>
    <w:rsid w:val="00DD23E2"/>
    <w:rsid w:val="00DD4256"/>
    <w:rsid w:val="00DF55CE"/>
    <w:rsid w:val="00E0589B"/>
    <w:rsid w:val="00E117B9"/>
    <w:rsid w:val="00E13389"/>
    <w:rsid w:val="00E17CF1"/>
    <w:rsid w:val="00E22DEC"/>
    <w:rsid w:val="00E26438"/>
    <w:rsid w:val="00E35B5A"/>
    <w:rsid w:val="00E4008A"/>
    <w:rsid w:val="00E447E4"/>
    <w:rsid w:val="00E45EA4"/>
    <w:rsid w:val="00E50767"/>
    <w:rsid w:val="00E60E5F"/>
    <w:rsid w:val="00E63371"/>
    <w:rsid w:val="00E63DC5"/>
    <w:rsid w:val="00E72447"/>
    <w:rsid w:val="00E91B39"/>
    <w:rsid w:val="00E94B6B"/>
    <w:rsid w:val="00E97747"/>
    <w:rsid w:val="00E97F93"/>
    <w:rsid w:val="00EB31E2"/>
    <w:rsid w:val="00EB3AD7"/>
    <w:rsid w:val="00EC1789"/>
    <w:rsid w:val="00ED5151"/>
    <w:rsid w:val="00ED57B3"/>
    <w:rsid w:val="00EE2D8F"/>
    <w:rsid w:val="00EE5011"/>
    <w:rsid w:val="00F02D62"/>
    <w:rsid w:val="00F03804"/>
    <w:rsid w:val="00F065CB"/>
    <w:rsid w:val="00F07CB8"/>
    <w:rsid w:val="00F13856"/>
    <w:rsid w:val="00F138CD"/>
    <w:rsid w:val="00F1479B"/>
    <w:rsid w:val="00F25F43"/>
    <w:rsid w:val="00F3012F"/>
    <w:rsid w:val="00F37A37"/>
    <w:rsid w:val="00F44F67"/>
    <w:rsid w:val="00F53021"/>
    <w:rsid w:val="00F57551"/>
    <w:rsid w:val="00F6291F"/>
    <w:rsid w:val="00F734F4"/>
    <w:rsid w:val="00F87B8C"/>
    <w:rsid w:val="00FA4F3D"/>
    <w:rsid w:val="00FA7CC3"/>
    <w:rsid w:val="00FB0623"/>
    <w:rsid w:val="00FB1F34"/>
    <w:rsid w:val="00FB26B2"/>
    <w:rsid w:val="00FB46C9"/>
    <w:rsid w:val="00FD365D"/>
    <w:rsid w:val="00FD3E1B"/>
    <w:rsid w:val="00FD6B51"/>
    <w:rsid w:val="00FE1E9C"/>
    <w:rsid w:val="018808B8"/>
    <w:rsid w:val="023852A6"/>
    <w:rsid w:val="02D93FFE"/>
    <w:rsid w:val="03ED00C3"/>
    <w:rsid w:val="0459606E"/>
    <w:rsid w:val="07280088"/>
    <w:rsid w:val="0A691AAB"/>
    <w:rsid w:val="0BB23C61"/>
    <w:rsid w:val="0CC07576"/>
    <w:rsid w:val="0E0A39EA"/>
    <w:rsid w:val="0F863D5D"/>
    <w:rsid w:val="0FDA1265"/>
    <w:rsid w:val="1130203D"/>
    <w:rsid w:val="114A62F2"/>
    <w:rsid w:val="150A38AA"/>
    <w:rsid w:val="15D0491F"/>
    <w:rsid w:val="16F85534"/>
    <w:rsid w:val="175947C2"/>
    <w:rsid w:val="17847944"/>
    <w:rsid w:val="18290BCC"/>
    <w:rsid w:val="191D1D6D"/>
    <w:rsid w:val="1AA73845"/>
    <w:rsid w:val="1ABD2772"/>
    <w:rsid w:val="1BC653F8"/>
    <w:rsid w:val="1CB8707D"/>
    <w:rsid w:val="1CEE04F3"/>
    <w:rsid w:val="1D505198"/>
    <w:rsid w:val="1E210C55"/>
    <w:rsid w:val="200C3C65"/>
    <w:rsid w:val="20C8387F"/>
    <w:rsid w:val="21532D2A"/>
    <w:rsid w:val="224609EC"/>
    <w:rsid w:val="22A35DC5"/>
    <w:rsid w:val="237E355B"/>
    <w:rsid w:val="24291904"/>
    <w:rsid w:val="249D5020"/>
    <w:rsid w:val="25A46919"/>
    <w:rsid w:val="26754D69"/>
    <w:rsid w:val="27D16535"/>
    <w:rsid w:val="287A38AC"/>
    <w:rsid w:val="2A1A4A61"/>
    <w:rsid w:val="2C163438"/>
    <w:rsid w:val="2CE66553"/>
    <w:rsid w:val="2DC24BFF"/>
    <w:rsid w:val="2FB30D8E"/>
    <w:rsid w:val="307A6038"/>
    <w:rsid w:val="30FE5B9C"/>
    <w:rsid w:val="32D549CF"/>
    <w:rsid w:val="32D628CC"/>
    <w:rsid w:val="33015C20"/>
    <w:rsid w:val="376F7FCA"/>
    <w:rsid w:val="37825466"/>
    <w:rsid w:val="382B433D"/>
    <w:rsid w:val="385F630F"/>
    <w:rsid w:val="3B02193B"/>
    <w:rsid w:val="3BAE7D91"/>
    <w:rsid w:val="3C6C08D7"/>
    <w:rsid w:val="3CD17863"/>
    <w:rsid w:val="3EC97CE5"/>
    <w:rsid w:val="3F5B3528"/>
    <w:rsid w:val="3F7F4906"/>
    <w:rsid w:val="41CD2440"/>
    <w:rsid w:val="41D5260D"/>
    <w:rsid w:val="41DA2097"/>
    <w:rsid w:val="431536D3"/>
    <w:rsid w:val="43717A92"/>
    <w:rsid w:val="44422A52"/>
    <w:rsid w:val="45315B44"/>
    <w:rsid w:val="46340221"/>
    <w:rsid w:val="48B048C7"/>
    <w:rsid w:val="4AD249F3"/>
    <w:rsid w:val="4D8278CB"/>
    <w:rsid w:val="5130194A"/>
    <w:rsid w:val="525A413F"/>
    <w:rsid w:val="53543DA5"/>
    <w:rsid w:val="546C7A96"/>
    <w:rsid w:val="57CA7D07"/>
    <w:rsid w:val="58161E3B"/>
    <w:rsid w:val="58D77B08"/>
    <w:rsid w:val="5ACF358F"/>
    <w:rsid w:val="5D237F64"/>
    <w:rsid w:val="5DCE55D1"/>
    <w:rsid w:val="60E71FD1"/>
    <w:rsid w:val="62A454E0"/>
    <w:rsid w:val="631409F3"/>
    <w:rsid w:val="63ED2BD0"/>
    <w:rsid w:val="65F1078D"/>
    <w:rsid w:val="66E403C4"/>
    <w:rsid w:val="676A7969"/>
    <w:rsid w:val="67D52DC6"/>
    <w:rsid w:val="69B710E6"/>
    <w:rsid w:val="6A112DC8"/>
    <w:rsid w:val="6CB31A2B"/>
    <w:rsid w:val="6F503EF5"/>
    <w:rsid w:val="70B05A3C"/>
    <w:rsid w:val="71651C6F"/>
    <w:rsid w:val="7180004E"/>
    <w:rsid w:val="72EB4698"/>
    <w:rsid w:val="732D2537"/>
    <w:rsid w:val="7431346F"/>
    <w:rsid w:val="77E273DD"/>
    <w:rsid w:val="78E00295"/>
    <w:rsid w:val="790955FB"/>
    <w:rsid w:val="7980012F"/>
    <w:rsid w:val="7A56742D"/>
    <w:rsid w:val="7A73131C"/>
    <w:rsid w:val="7AA53318"/>
    <w:rsid w:val="7E94363B"/>
    <w:rsid w:val="7F035807"/>
    <w:rsid w:val="7F855B4D"/>
    <w:rsid w:val="7FAD42CC"/>
    <w:rsid w:val="7FD429CB"/>
    <w:rsid w:val="7FD42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Date" w:semiHidden="0" w:unhideWhenUsed="0" w:qFormat="1"/>
    <w:lsdException w:name="Body Text Indent 2" w:semiHidden="0" w:unhideWhenUsed="0" w:qFormat="1"/>
    <w:lsdException w:name="Body Text Indent 3"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iPriority="0" w:unhideWhenUsed="0" w:qFormat="1"/>
    <w:lsdException w:name="annotation subject" w:unhideWhenUsed="0"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unhideWhenUsed="0" w:qFormat="1"/>
    <w:lsdException w:name="Table Grid" w:locked="1" w:semiHidden="0" w:uiPriority="0" w:unhideWhenUsed="0"/>
    <w:lsdException w:name="Table Theme"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spacing w:before="120" w:line="360" w:lineRule="exact"/>
      <w:ind w:left="57" w:right="57"/>
      <w:jc w:val="center"/>
      <w:outlineLvl w:val="0"/>
    </w:pPr>
    <w:rPr>
      <w:rFonts w:eastAsia="黑体"/>
      <w:b/>
      <w:color w:val="FF0000"/>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 w:val="24"/>
      <w:szCs w:val="20"/>
    </w:rPr>
  </w:style>
  <w:style w:type="paragraph" w:styleId="a4">
    <w:name w:val="annotation text"/>
    <w:basedOn w:val="a"/>
    <w:link w:val="Char"/>
    <w:uiPriority w:val="99"/>
    <w:semiHidden/>
    <w:qFormat/>
    <w:pPr>
      <w:jc w:val="left"/>
    </w:pPr>
  </w:style>
  <w:style w:type="paragraph" w:styleId="a5">
    <w:name w:val="Body Text"/>
    <w:basedOn w:val="a"/>
    <w:link w:val="Char0"/>
    <w:uiPriority w:val="99"/>
    <w:qFormat/>
    <w:pPr>
      <w:spacing w:line="440" w:lineRule="exact"/>
    </w:pPr>
    <w:rPr>
      <w:rFonts w:eastAsia="仿宋_GB2312"/>
      <w:b/>
      <w:sz w:val="28"/>
      <w:szCs w:val="20"/>
    </w:rPr>
  </w:style>
  <w:style w:type="paragraph" w:styleId="a6">
    <w:name w:val="Body Text Indent"/>
    <w:basedOn w:val="a"/>
    <w:link w:val="Char1"/>
    <w:uiPriority w:val="99"/>
    <w:qFormat/>
    <w:pPr>
      <w:spacing w:line="480" w:lineRule="exact"/>
      <w:ind w:firstLineChars="200" w:firstLine="560"/>
    </w:pPr>
    <w:rPr>
      <w:rFonts w:ascii="仿宋_GB2312" w:eastAsia="仿宋_GB2312" w:hAnsi="宋体"/>
      <w:sz w:val="28"/>
      <w:szCs w:val="28"/>
    </w:rPr>
  </w:style>
  <w:style w:type="paragraph" w:styleId="a7">
    <w:name w:val="Plain Text"/>
    <w:basedOn w:val="a"/>
    <w:link w:val="Char2"/>
    <w:uiPriority w:val="99"/>
    <w:qFormat/>
    <w:rPr>
      <w:rFonts w:ascii="宋体" w:hAnsi="Courier New" w:cs="Courier New"/>
      <w:szCs w:val="21"/>
    </w:rPr>
  </w:style>
  <w:style w:type="paragraph" w:styleId="a8">
    <w:name w:val="Date"/>
    <w:basedOn w:val="a"/>
    <w:next w:val="a"/>
    <w:link w:val="Char3"/>
    <w:uiPriority w:val="99"/>
    <w:qFormat/>
    <w:pPr>
      <w:ind w:leftChars="2500" w:left="100"/>
    </w:pPr>
    <w:rPr>
      <w:rFonts w:ascii="仿宋_GB2312" w:eastAsia="仿宋_GB2312"/>
      <w:sz w:val="32"/>
      <w:szCs w:val="20"/>
    </w:rPr>
  </w:style>
  <w:style w:type="paragraph" w:styleId="2">
    <w:name w:val="Body Text Indent 2"/>
    <w:basedOn w:val="a"/>
    <w:link w:val="2Char"/>
    <w:uiPriority w:val="99"/>
    <w:qFormat/>
    <w:pPr>
      <w:spacing w:after="120" w:line="480" w:lineRule="auto"/>
      <w:ind w:leftChars="200" w:left="420"/>
    </w:pPr>
  </w:style>
  <w:style w:type="paragraph" w:styleId="a9">
    <w:name w:val="Balloon Text"/>
    <w:basedOn w:val="a"/>
    <w:link w:val="Char4"/>
    <w:uiPriority w:val="99"/>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pPr>
      <w:spacing w:after="120"/>
      <w:ind w:leftChars="200" w:left="420"/>
    </w:pPr>
    <w:rPr>
      <w:sz w:val="16"/>
      <w:szCs w:val="16"/>
    </w:rPr>
  </w:style>
  <w:style w:type="paragraph" w:styleId="ac">
    <w:name w:val="Normal (Web)"/>
    <w:basedOn w:val="a"/>
    <w:qFormat/>
    <w:rPr>
      <w:rFonts w:ascii="Calibri" w:hAnsi="Calibri"/>
      <w:sz w:val="24"/>
    </w:rPr>
  </w:style>
  <w:style w:type="paragraph" w:styleId="ad">
    <w:name w:val="annotation subject"/>
    <w:basedOn w:val="a4"/>
    <w:next w:val="a4"/>
    <w:link w:val="Char7"/>
    <w:uiPriority w:val="99"/>
    <w:semiHidden/>
    <w:qFormat/>
    <w:rPr>
      <w:b/>
      <w:bCs/>
    </w:rPr>
  </w:style>
  <w:style w:type="character" w:styleId="ae">
    <w:name w:val="page number"/>
    <w:basedOn w:val="a0"/>
    <w:uiPriority w:val="99"/>
    <w:qFormat/>
    <w:rPr>
      <w:rFonts w:cs="Times New Roman"/>
    </w:rPr>
  </w:style>
  <w:style w:type="character" w:styleId="af">
    <w:name w:val="annotation reference"/>
    <w:basedOn w:val="a0"/>
    <w:uiPriority w:val="99"/>
    <w:semiHidden/>
    <w:qFormat/>
    <w:rPr>
      <w:rFonts w:cs="Times New Roman"/>
      <w:sz w:val="21"/>
      <w:szCs w:val="21"/>
    </w:rPr>
  </w:style>
  <w:style w:type="character" w:customStyle="1" w:styleId="1Char">
    <w:name w:val="标题 1 Char"/>
    <w:basedOn w:val="a0"/>
    <w:link w:val="1"/>
    <w:uiPriority w:val="9"/>
    <w:qFormat/>
    <w:rPr>
      <w:b/>
      <w:bCs/>
      <w:kern w:val="44"/>
      <w:sz w:val="44"/>
      <w:szCs w:val="44"/>
    </w:rPr>
  </w:style>
  <w:style w:type="character" w:customStyle="1" w:styleId="Char">
    <w:name w:val="批注文字 Char"/>
    <w:basedOn w:val="a0"/>
    <w:link w:val="a4"/>
    <w:uiPriority w:val="99"/>
    <w:semiHidden/>
    <w:qFormat/>
    <w:rPr>
      <w:szCs w:val="24"/>
    </w:rPr>
  </w:style>
  <w:style w:type="character" w:customStyle="1" w:styleId="Char7">
    <w:name w:val="批注主题 Char"/>
    <w:basedOn w:val="Char"/>
    <w:link w:val="ad"/>
    <w:uiPriority w:val="99"/>
    <w:semiHidden/>
    <w:qFormat/>
    <w:rPr>
      <w:b/>
      <w:bCs/>
      <w:szCs w:val="24"/>
    </w:rPr>
  </w:style>
  <w:style w:type="character" w:customStyle="1" w:styleId="Char0">
    <w:name w:val="正文文本 Char"/>
    <w:basedOn w:val="a0"/>
    <w:link w:val="a5"/>
    <w:uiPriority w:val="99"/>
    <w:semiHidden/>
    <w:qFormat/>
    <w:rPr>
      <w:szCs w:val="24"/>
    </w:rPr>
  </w:style>
  <w:style w:type="character" w:customStyle="1" w:styleId="Char1">
    <w:name w:val="正文文本缩进 Char"/>
    <w:basedOn w:val="a0"/>
    <w:link w:val="a6"/>
    <w:uiPriority w:val="99"/>
    <w:semiHidden/>
    <w:qFormat/>
    <w:rPr>
      <w:szCs w:val="24"/>
    </w:rPr>
  </w:style>
  <w:style w:type="character" w:customStyle="1" w:styleId="Char2">
    <w:name w:val="纯文本 Char"/>
    <w:basedOn w:val="a0"/>
    <w:link w:val="a7"/>
    <w:uiPriority w:val="99"/>
    <w:qFormat/>
    <w:locked/>
    <w:rPr>
      <w:rFonts w:ascii="宋体" w:hAnsi="Courier New" w:cs="Courier New"/>
      <w:kern w:val="2"/>
      <w:sz w:val="21"/>
      <w:szCs w:val="21"/>
    </w:rPr>
  </w:style>
  <w:style w:type="character" w:customStyle="1" w:styleId="Char3">
    <w:name w:val="日期 Char"/>
    <w:basedOn w:val="a0"/>
    <w:link w:val="a8"/>
    <w:uiPriority w:val="99"/>
    <w:semiHidden/>
    <w:qFormat/>
    <w:rPr>
      <w:szCs w:val="24"/>
    </w:rPr>
  </w:style>
  <w:style w:type="character" w:customStyle="1" w:styleId="2Char">
    <w:name w:val="正文文本缩进 2 Char"/>
    <w:basedOn w:val="a0"/>
    <w:link w:val="2"/>
    <w:uiPriority w:val="99"/>
    <w:semiHidden/>
    <w:qFormat/>
    <w:rPr>
      <w:szCs w:val="24"/>
    </w:rPr>
  </w:style>
  <w:style w:type="character" w:customStyle="1" w:styleId="Char4">
    <w:name w:val="批注框文本 Char"/>
    <w:basedOn w:val="a0"/>
    <w:link w:val="a9"/>
    <w:uiPriority w:val="99"/>
    <w:semiHidden/>
    <w:qFormat/>
    <w:rPr>
      <w:sz w:val="0"/>
      <w:szCs w:val="0"/>
    </w:rPr>
  </w:style>
  <w:style w:type="character" w:customStyle="1" w:styleId="Char5">
    <w:name w:val="页脚 Char"/>
    <w:basedOn w:val="a0"/>
    <w:link w:val="aa"/>
    <w:uiPriority w:val="99"/>
    <w:semiHidden/>
    <w:qFormat/>
    <w:rPr>
      <w:sz w:val="18"/>
      <w:szCs w:val="18"/>
    </w:rPr>
  </w:style>
  <w:style w:type="character" w:customStyle="1" w:styleId="Char6">
    <w:name w:val="页眉 Char"/>
    <w:basedOn w:val="a0"/>
    <w:link w:val="ab"/>
    <w:uiPriority w:val="99"/>
    <w:semiHidden/>
    <w:qFormat/>
    <w:rPr>
      <w:sz w:val="18"/>
      <w:szCs w:val="18"/>
    </w:rPr>
  </w:style>
  <w:style w:type="character" w:customStyle="1" w:styleId="3Char">
    <w:name w:val="正文文本缩进 3 Char"/>
    <w:basedOn w:val="a0"/>
    <w:link w:val="3"/>
    <w:uiPriority w:val="99"/>
    <w:semiHidden/>
    <w:qFormat/>
    <w:rPr>
      <w:sz w:val="16"/>
      <w:szCs w:val="16"/>
    </w:rPr>
  </w:style>
  <w:style w:type="paragraph" w:customStyle="1" w:styleId="CharCharCharCharCharCharChar">
    <w:name w:val="Char Char Char Char Char Char Char"/>
    <w:basedOn w:val="a"/>
    <w:uiPriority w:val="99"/>
    <w:qFormat/>
    <w:pPr>
      <w:tabs>
        <w:tab w:val="left" w:pos="720"/>
      </w:tabs>
      <w:ind w:left="720" w:hanging="720"/>
    </w:pPr>
    <w:rPr>
      <w:sz w:val="24"/>
    </w:rPr>
  </w:style>
  <w:style w:type="paragraph" w:customStyle="1" w:styleId="Char8">
    <w:name w:val="Char"/>
    <w:basedOn w:val="a"/>
    <w:uiPriority w:val="99"/>
    <w:qFormat/>
    <w:rPr>
      <w:szCs w:val="20"/>
    </w:rPr>
  </w:style>
  <w:style w:type="paragraph" w:customStyle="1" w:styleId="ListParagraph1">
    <w:name w:val="List Paragraph1"/>
    <w:basedOn w:val="a"/>
    <w:uiPriority w:val="99"/>
    <w:qFormat/>
    <w:pPr>
      <w:ind w:firstLineChars="200" w:firstLine="420"/>
    </w:pPr>
  </w:style>
  <w:style w:type="paragraph" w:customStyle="1" w:styleId="af0">
    <w:name w:val="果正文"/>
    <w:basedOn w:val="a"/>
    <w:uiPriority w:val="99"/>
    <w:qFormat/>
    <w:pPr>
      <w:tabs>
        <w:tab w:val="left" w:pos="1800"/>
      </w:tabs>
      <w:ind w:firstLineChars="200" w:firstLine="544"/>
    </w:pPr>
    <w:rPr>
      <w:rFonts w:ascii="仿宋_GB2312" w:eastAsia="仿宋_GB2312"/>
      <w:spacing w:val="-4"/>
      <w:sz w:val="28"/>
      <w:szCs w:val="20"/>
    </w:rPr>
  </w:style>
  <w:style w:type="paragraph" w:styleId="af1">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326</Words>
  <Characters>1863</Characters>
  <Application>Microsoft Office Word</Application>
  <DocSecurity>0</DocSecurity>
  <Lines>15</Lines>
  <Paragraphs>4</Paragraphs>
  <ScaleCrop>false</ScaleCrop>
  <Company>wenyin</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首医大校教字[2003]2号</dc:title>
  <dc:creator>qiuyue</dc:creator>
  <cp:lastModifiedBy>体验用户44</cp:lastModifiedBy>
  <cp:revision>117</cp:revision>
  <cp:lastPrinted>2020-11-12T06:46:00Z</cp:lastPrinted>
  <dcterms:created xsi:type="dcterms:W3CDTF">2020-11-01T11:33:00Z</dcterms:created>
  <dcterms:modified xsi:type="dcterms:W3CDTF">2022-08-10T09:37:00Z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