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19BFD">
      <w:pPr>
        <w:pStyle w:val="24"/>
      </w:pPr>
      <w:bookmarkStart w:id="1" w:name="_GoBack"/>
      <w:bookmarkEnd w:id="1"/>
      <w:r>
        <w:rPr>
          <w:rFonts w:hint="eastAsia"/>
        </w:rPr>
        <w:t>附件1</w:t>
      </w:r>
    </w:p>
    <w:p w14:paraId="6E2C4389">
      <w:pPr>
        <w:pStyle w:val="23"/>
        <w:spacing w:before="312" w:after="312"/>
      </w:pPr>
      <w:r>
        <w:rPr>
          <w:rFonts w:hint="eastAsia"/>
        </w:rPr>
        <w:t>第十一届中国药物警戒大会会议日程</w:t>
      </w:r>
    </w:p>
    <w:tbl>
      <w:tblPr>
        <w:tblStyle w:val="10"/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36"/>
        <w:gridCol w:w="4264"/>
      </w:tblGrid>
      <w:tr w14:paraId="29694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17057">
            <w:pPr>
              <w:widowControl/>
              <w:spacing w:line="400" w:lineRule="exact"/>
              <w:jc w:val="center"/>
              <w:rPr>
                <w:rStyle w:val="28"/>
                <w:sz w:val="30"/>
                <w:szCs w:val="30"/>
              </w:rPr>
            </w:pPr>
            <w:r>
              <w:rPr>
                <w:rStyle w:val="28"/>
                <w:rFonts w:hint="eastAsia"/>
                <w:sz w:val="30"/>
                <w:szCs w:val="30"/>
              </w:rPr>
              <w:t>主会场 全体大会</w:t>
            </w:r>
          </w:p>
          <w:p w14:paraId="31ED8A6A">
            <w:pPr>
              <w:widowControl/>
              <w:spacing w:line="400" w:lineRule="exact"/>
              <w:jc w:val="center"/>
              <w:rPr>
                <w:rStyle w:val="28"/>
                <w:sz w:val="30"/>
                <w:szCs w:val="30"/>
              </w:rPr>
            </w:pPr>
            <w:r>
              <w:rPr>
                <w:rStyle w:val="28"/>
                <w:rFonts w:ascii="Times New Roman" w:hAnsi="Times New Roman"/>
                <w:sz w:val="30"/>
                <w:szCs w:val="30"/>
              </w:rPr>
              <w:t>10月29日</w:t>
            </w:r>
          </w:p>
        </w:tc>
      </w:tr>
      <w:tr w14:paraId="23F0CC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7BF05">
            <w:pPr>
              <w:widowControl/>
              <w:spacing w:line="400" w:lineRule="exact"/>
              <w:jc w:val="center"/>
              <w:rPr>
                <w:rStyle w:val="28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报告题目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67469">
            <w:pPr>
              <w:widowControl/>
              <w:spacing w:line="400" w:lineRule="exact"/>
              <w:jc w:val="center"/>
              <w:rPr>
                <w:rStyle w:val="28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讲者</w:t>
            </w:r>
          </w:p>
        </w:tc>
      </w:tr>
      <w:tr w14:paraId="541AC7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2AC91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国家药监局领导讲话</w:t>
            </w:r>
          </w:p>
        </w:tc>
      </w:tr>
      <w:tr w14:paraId="7870B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2584F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院士报告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33606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中国工程院院士 王军志</w:t>
            </w:r>
          </w:p>
        </w:tc>
      </w:tr>
      <w:tr w14:paraId="130B58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17C27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院士报告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DC1CC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highlight w:val="none"/>
              </w:rPr>
              <w:t>中国科学院院士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highlight w:val="none"/>
              </w:rPr>
              <w:t>蔡秀军</w:t>
            </w:r>
          </w:p>
        </w:tc>
      </w:tr>
      <w:tr w14:paraId="54FC7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2CA62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院士报告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0847A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中国科学院院士 陈春英</w:t>
            </w:r>
          </w:p>
        </w:tc>
      </w:tr>
      <w:tr w14:paraId="3AF785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A76B0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药品监管改革政策解读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33E9F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国家药监局药品监管司领导</w:t>
            </w:r>
          </w:p>
        </w:tc>
      </w:tr>
      <w:tr w14:paraId="303E6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019EC8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医疗器械监管改革政策解读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32C0DB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国家药监局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器械监管司领导</w:t>
            </w:r>
          </w:p>
        </w:tc>
      </w:tr>
      <w:tr w14:paraId="72A52C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084889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中国药物警戒发展展望</w:t>
            </w:r>
          </w:p>
        </w:tc>
        <w:tc>
          <w:tcPr>
            <w:tcW w:w="234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2C6C51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国家药监局评价中心主任 张辉</w:t>
            </w:r>
          </w:p>
        </w:tc>
      </w:tr>
      <w:tr w14:paraId="225F44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47E18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国际药物警戒新发展</w:t>
            </w:r>
          </w:p>
        </w:tc>
        <w:tc>
          <w:tcPr>
            <w:tcW w:w="234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C4447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>世界卫生组织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乌普萨拉监测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中心主任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Peter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Hjelmström</w:t>
            </w:r>
          </w:p>
        </w:tc>
      </w:tr>
      <w:tr w14:paraId="6A5769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8E8D3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创新药研发前沿进展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E2A84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pacing w:val="-8"/>
                <w:kern w:val="0"/>
                <w:sz w:val="30"/>
                <w:szCs w:val="30"/>
              </w:rPr>
              <w:t>中国药品检定研究院副院长 徐苗</w:t>
            </w:r>
          </w:p>
        </w:tc>
      </w:tr>
      <w:tr w14:paraId="1F2CCE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19676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中药安全研究新视角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6C208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北京中医医院院长 刘清泉</w:t>
            </w:r>
          </w:p>
        </w:tc>
      </w:tr>
      <w:tr w14:paraId="741351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27920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药物警戒在肿瘤创新药物研发应用中的价值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30235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中国医学科学院肿瘤医院副院长 李宁</w:t>
            </w:r>
          </w:p>
        </w:tc>
      </w:tr>
      <w:tr w14:paraId="4E2581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4FA8A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眼科人工智能产品创新与应用示范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DF13B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首都医科大学附属北京同仁医院副院长 魏文斌</w:t>
            </w:r>
          </w:p>
        </w:tc>
      </w:tr>
      <w:tr w14:paraId="38165D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9D67D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中国神经介入相关设备和器械的发展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078B8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首都医科大学宣武医院副院长 焦力群</w:t>
            </w:r>
          </w:p>
        </w:tc>
      </w:tr>
      <w:tr w14:paraId="7C408B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0C00E">
            <w:pPr>
              <w:widowControl/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药械警戒真实世界研究进展</w:t>
            </w:r>
          </w:p>
        </w:tc>
        <w:tc>
          <w:tcPr>
            <w:tcW w:w="2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5E56">
            <w:pPr>
              <w:widowControl/>
              <w:spacing w:line="400" w:lineRule="exact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 xml:space="preserve">北京大学公共卫生学院院长 </w:t>
            </w:r>
          </w:p>
          <w:p w14:paraId="3DF150D6">
            <w:pPr>
              <w:widowControl/>
              <w:spacing w:line="400" w:lineRule="exact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詹思延</w:t>
            </w:r>
          </w:p>
        </w:tc>
      </w:tr>
    </w:tbl>
    <w:p w14:paraId="5820BFCC">
      <w:pPr>
        <w:widowControl/>
        <w:spacing w:line="400" w:lineRule="exac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p w14:paraId="0BB074FB">
      <w:pPr>
        <w:widowControl/>
        <w:spacing w:line="400" w:lineRule="exac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p w14:paraId="3F62E030">
      <w:pPr>
        <w:widowControl/>
        <w:spacing w:line="400" w:lineRule="exac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p w14:paraId="6052CA14">
      <w:pPr>
        <w:widowControl/>
        <w:spacing w:line="400" w:lineRule="exac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p w14:paraId="6A02A2B7">
      <w:pPr>
        <w:widowControl/>
        <w:spacing w:line="400" w:lineRule="exac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5068" w:type="pct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90"/>
        <w:gridCol w:w="4434"/>
      </w:tblGrid>
      <w:tr w14:paraId="22D76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000" w:type="pct"/>
            <w:gridSpan w:val="2"/>
            <w:noWrap/>
            <w:vAlign w:val="center"/>
          </w:tcPr>
          <w:p w14:paraId="082D3F29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 xml:space="preserve">1  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创新药上市后监测评价实践与思考</w:t>
            </w:r>
          </w:p>
          <w:p w14:paraId="0AD99620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上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7157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5AF1F830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报告题目</w:t>
            </w:r>
          </w:p>
        </w:tc>
        <w:tc>
          <w:tcPr>
            <w:tcW w:w="2403" w:type="pct"/>
            <w:vAlign w:val="center"/>
          </w:tcPr>
          <w:p w14:paraId="62E6B9B9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讲者</w:t>
            </w:r>
          </w:p>
        </w:tc>
      </w:tr>
      <w:tr w14:paraId="1CBF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48C16A2F">
            <w:pPr>
              <w:widowControl/>
              <w:spacing w:line="400" w:lineRule="exact"/>
              <w:rPr>
                <w:rFonts w:ascii="仿宋" w:hAnsi="仿宋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0"/>
                <w:szCs w:val="30"/>
              </w:rPr>
              <w:t>创新药上市后监测评价工作有关要求</w:t>
            </w:r>
          </w:p>
        </w:tc>
        <w:tc>
          <w:tcPr>
            <w:tcW w:w="2403" w:type="pct"/>
            <w:vAlign w:val="center"/>
          </w:tcPr>
          <w:p w14:paraId="2E0674E9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  <w:highlight w:val="gree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国家药监局药品监管司药物警戒处处长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高燕</w:t>
            </w:r>
          </w:p>
        </w:tc>
      </w:tr>
      <w:tr w14:paraId="36F0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2DE179DA">
            <w:pPr>
              <w:widowControl/>
              <w:spacing w:line="400" w:lineRule="exact"/>
              <w:rPr>
                <w:rFonts w:ascii="仿宋" w:hAnsi="仿宋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0"/>
                <w:szCs w:val="30"/>
              </w:rPr>
              <w:t>创新药上市审评风险获益考量要点</w:t>
            </w:r>
          </w:p>
        </w:tc>
        <w:tc>
          <w:tcPr>
            <w:tcW w:w="2403" w:type="pct"/>
            <w:vAlign w:val="center"/>
          </w:tcPr>
          <w:p w14:paraId="3FDF3502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国家药监局药审中心（拟邀）</w:t>
            </w:r>
          </w:p>
        </w:tc>
      </w:tr>
      <w:tr w14:paraId="7B52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6E850CE7">
            <w:pPr>
              <w:widowControl/>
              <w:spacing w:line="400" w:lineRule="exact"/>
              <w:rPr>
                <w:rFonts w:ascii="仿宋" w:hAnsi="仿宋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0"/>
                <w:szCs w:val="30"/>
              </w:rPr>
              <w:t>创新化学药品监测工作实践及进展</w:t>
            </w:r>
          </w:p>
        </w:tc>
        <w:tc>
          <w:tcPr>
            <w:tcW w:w="2403" w:type="pct"/>
            <w:vAlign w:val="center"/>
          </w:tcPr>
          <w:p w14:paraId="7E54F336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国家药监局评价中心化学药品监测与评价部</w:t>
            </w:r>
          </w:p>
        </w:tc>
      </w:tr>
      <w:tr w14:paraId="41DC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3D53E830">
            <w:pPr>
              <w:widowControl/>
              <w:spacing w:line="400" w:lineRule="exact"/>
              <w:rPr>
                <w:rFonts w:ascii="仿宋" w:hAnsi="仿宋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0"/>
                <w:szCs w:val="30"/>
              </w:rPr>
              <w:t>糖尿病用药的真实世界研究</w:t>
            </w:r>
          </w:p>
        </w:tc>
        <w:tc>
          <w:tcPr>
            <w:tcW w:w="2403" w:type="pct"/>
            <w:vAlign w:val="center"/>
          </w:tcPr>
          <w:p w14:paraId="6F76C5B1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北京大学人民医院教授、主任医师蔡晓凌</w:t>
            </w:r>
          </w:p>
        </w:tc>
      </w:tr>
      <w:tr w14:paraId="697F6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0E8644F3">
            <w:pPr>
              <w:widowControl/>
              <w:spacing w:line="400" w:lineRule="exact"/>
              <w:rPr>
                <w:rFonts w:ascii="仿宋" w:hAnsi="仿宋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0"/>
                <w:szCs w:val="30"/>
              </w:rPr>
              <w:t>医疗机构创新药上市后监测与评价</w:t>
            </w:r>
          </w:p>
        </w:tc>
        <w:tc>
          <w:tcPr>
            <w:tcW w:w="2403" w:type="pct"/>
            <w:vAlign w:val="center"/>
          </w:tcPr>
          <w:p w14:paraId="7FBA7689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北京医院药学部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>副主任、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主任药师张亚同</w:t>
            </w:r>
          </w:p>
        </w:tc>
      </w:tr>
      <w:tr w14:paraId="03F6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17A2714F">
            <w:pPr>
              <w:widowControl/>
              <w:spacing w:line="400" w:lineRule="exact"/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创新药上市后药物警戒实践与思考</w:t>
            </w:r>
          </w:p>
        </w:tc>
        <w:tc>
          <w:tcPr>
            <w:tcW w:w="2403" w:type="pct"/>
            <w:vAlign w:val="center"/>
          </w:tcPr>
          <w:p w14:paraId="082D1606">
            <w:pPr>
              <w:widowControl/>
              <w:spacing w:line="400" w:lineRule="exact"/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w w:val="100"/>
                <w:kern w:val="0"/>
                <w:sz w:val="30"/>
                <w:szCs w:val="30"/>
              </w:rPr>
              <w:t>上海罗氏制药有限公司中国患者安全总监、中国药物警戒负责人</w:t>
            </w:r>
            <w:r>
              <w:rPr>
                <w:rFonts w:hint="eastAsia" w:ascii="Times New Roman" w:hAnsi="Times New Roman" w:eastAsia="仿宋"/>
                <w:color w:val="000000"/>
                <w:w w:val="1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w w:val="100"/>
                <w:kern w:val="0"/>
                <w:sz w:val="30"/>
                <w:szCs w:val="30"/>
              </w:rPr>
              <w:t>许晋</w:t>
            </w:r>
          </w:p>
        </w:tc>
      </w:tr>
    </w:tbl>
    <w:p w14:paraId="17493F34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5052" w:type="pct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77"/>
        <w:gridCol w:w="4418"/>
      </w:tblGrid>
      <w:tr w14:paraId="3E27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000" w:type="pct"/>
            <w:gridSpan w:val="2"/>
            <w:noWrap/>
            <w:vAlign w:val="center"/>
          </w:tcPr>
          <w:p w14:paraId="17141919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2  完善中药全链条监管，助力中药产业提质升级</w:t>
            </w:r>
          </w:p>
          <w:p w14:paraId="60FAFC18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上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5427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19D54D79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报告题目</w:t>
            </w:r>
          </w:p>
        </w:tc>
        <w:tc>
          <w:tcPr>
            <w:tcW w:w="2402" w:type="pct"/>
            <w:vAlign w:val="center"/>
          </w:tcPr>
          <w:p w14:paraId="3DAF1E2C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讲者</w:t>
            </w:r>
          </w:p>
        </w:tc>
      </w:tr>
      <w:tr w14:paraId="015E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1A74B59F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中药饮片GMP附录修订情况</w:t>
            </w:r>
          </w:p>
        </w:tc>
        <w:tc>
          <w:tcPr>
            <w:tcW w:w="2402" w:type="pct"/>
            <w:vAlign w:val="center"/>
          </w:tcPr>
          <w:p w14:paraId="3BC7D5BE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国家药监局药品监管司</w:t>
            </w:r>
          </w:p>
        </w:tc>
      </w:tr>
      <w:tr w14:paraId="1C92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085D3F35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中药国家标准概况及发展</w:t>
            </w:r>
          </w:p>
        </w:tc>
        <w:tc>
          <w:tcPr>
            <w:tcW w:w="2402" w:type="pct"/>
            <w:vAlign w:val="center"/>
          </w:tcPr>
          <w:p w14:paraId="1239370B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国家药监局药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典委中药处</w:t>
            </w:r>
          </w:p>
        </w:tc>
      </w:tr>
      <w:tr w14:paraId="0D7C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371E27E2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中药新药临床审评要点与展望</w:t>
            </w:r>
          </w:p>
        </w:tc>
        <w:tc>
          <w:tcPr>
            <w:tcW w:w="2402" w:type="pct"/>
            <w:vAlign w:val="center"/>
          </w:tcPr>
          <w:p w14:paraId="3B7FEE02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国家药监局药审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（拟邀）</w:t>
            </w:r>
          </w:p>
        </w:tc>
      </w:tr>
      <w:tr w14:paraId="3C61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1224DF5B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中药新药药学审评要点与安全性考量</w:t>
            </w:r>
          </w:p>
        </w:tc>
        <w:tc>
          <w:tcPr>
            <w:tcW w:w="2402" w:type="pct"/>
            <w:vAlign w:val="center"/>
          </w:tcPr>
          <w:p w14:paraId="2CD47904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国家药监局药审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（拟邀）</w:t>
            </w:r>
          </w:p>
        </w:tc>
      </w:tr>
      <w:tr w14:paraId="5257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4DF35607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中药上市后检查案例分析</w:t>
            </w:r>
          </w:p>
        </w:tc>
        <w:tc>
          <w:tcPr>
            <w:tcW w:w="2402" w:type="pct"/>
            <w:vAlign w:val="center"/>
          </w:tcPr>
          <w:p w14:paraId="7C2EA9BC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国家药监局核查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（拟邀）</w:t>
            </w:r>
          </w:p>
        </w:tc>
      </w:tr>
      <w:tr w14:paraId="0768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7" w:type="pct"/>
            <w:noWrap/>
            <w:vAlign w:val="center"/>
          </w:tcPr>
          <w:p w14:paraId="315DC99A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基于国家药品抽检的中成药质量分析</w:t>
            </w:r>
          </w:p>
        </w:tc>
        <w:tc>
          <w:tcPr>
            <w:tcW w:w="2402" w:type="pct"/>
            <w:vAlign w:val="center"/>
          </w:tcPr>
          <w:p w14:paraId="79FAADAE">
            <w:pPr>
              <w:widowControl/>
              <w:spacing w:line="400" w:lineRule="exact"/>
              <w:rPr>
                <w:rFonts w:ascii="黑体" w:hAnsi="黑体" w:eastAsia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中国药品检定研究院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中药民族药检定所中成药室副主任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刘静</w:t>
            </w:r>
          </w:p>
        </w:tc>
      </w:tr>
    </w:tbl>
    <w:p w14:paraId="3203684C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5053" w:type="pct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76"/>
        <w:gridCol w:w="4420"/>
      </w:tblGrid>
      <w:tr w14:paraId="05B3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000" w:type="pct"/>
            <w:gridSpan w:val="2"/>
            <w:noWrap/>
            <w:vAlign w:val="center"/>
          </w:tcPr>
          <w:p w14:paraId="6CE2557F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  数智赋能，夯实生物药安全</w:t>
            </w:r>
          </w:p>
          <w:p w14:paraId="274308FA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上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17518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5CF9F850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报告题目</w:t>
            </w:r>
          </w:p>
        </w:tc>
        <w:tc>
          <w:tcPr>
            <w:tcW w:w="2403" w:type="pct"/>
            <w:vAlign w:val="center"/>
          </w:tcPr>
          <w:p w14:paraId="618DC490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讲者</w:t>
            </w:r>
          </w:p>
        </w:tc>
      </w:tr>
      <w:tr w14:paraId="3538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1AE42FF9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智慧监管与生物制品分段生产</w:t>
            </w:r>
          </w:p>
        </w:tc>
        <w:tc>
          <w:tcPr>
            <w:tcW w:w="2403" w:type="pct"/>
            <w:vAlign w:val="center"/>
          </w:tcPr>
          <w:p w14:paraId="1C6B146F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药品监管司</w:t>
            </w:r>
          </w:p>
        </w:tc>
      </w:tr>
      <w:tr w14:paraId="336E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1E7BB2C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生物制品检查相关内容</w:t>
            </w:r>
          </w:p>
        </w:tc>
        <w:tc>
          <w:tcPr>
            <w:tcW w:w="2403" w:type="pct"/>
            <w:vAlign w:val="center"/>
          </w:tcPr>
          <w:p w14:paraId="2A0EB0AC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核查中心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（拟邀）</w:t>
            </w:r>
          </w:p>
        </w:tc>
      </w:tr>
      <w:tr w14:paraId="1F13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2FDBEB73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数智化赋能我国疫苗检验与批签发</w:t>
            </w:r>
          </w:p>
        </w:tc>
        <w:tc>
          <w:tcPr>
            <w:tcW w:w="2403" w:type="pct"/>
            <w:vAlign w:val="center"/>
          </w:tcPr>
          <w:p w14:paraId="2A7DE080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中国药品检定研究院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研究员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马宵</w:t>
            </w:r>
          </w:p>
        </w:tc>
      </w:tr>
      <w:tr w14:paraId="7ECE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021E2E1C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生物制品安全性临床研究中设计要素</w:t>
            </w:r>
          </w:p>
        </w:tc>
        <w:tc>
          <w:tcPr>
            <w:tcW w:w="2403" w:type="pct"/>
            <w:vAlign w:val="center"/>
          </w:tcPr>
          <w:p w14:paraId="12B568BE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北京大学临床研究所生物统计部主任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阎小妍</w:t>
            </w:r>
          </w:p>
        </w:tc>
      </w:tr>
      <w:tr w14:paraId="16BB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23CAE42A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bookmarkStart w:id="0" w:name="OLE_LINK1"/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新型抗肿瘤生物制品上市后监测</w:t>
            </w:r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情况</w:t>
            </w:r>
          </w:p>
        </w:tc>
        <w:tc>
          <w:tcPr>
            <w:tcW w:w="2403" w:type="pct"/>
            <w:vAlign w:val="center"/>
          </w:tcPr>
          <w:p w14:paraId="1930F713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国家药监局评价中心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生物制品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监测与评价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部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王轶</w:t>
            </w:r>
          </w:p>
        </w:tc>
      </w:tr>
      <w:tr w14:paraId="28DB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96" w:type="pct"/>
            <w:noWrap/>
            <w:vAlign w:val="center"/>
          </w:tcPr>
          <w:p w14:paraId="7E163A5D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数智驱动的生物药安全性监测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——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实践与探索</w:t>
            </w:r>
          </w:p>
        </w:tc>
        <w:tc>
          <w:tcPr>
            <w:tcW w:w="2403" w:type="pct"/>
            <w:vAlign w:val="center"/>
          </w:tcPr>
          <w:p w14:paraId="5BC0F227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赛诺菲</w:t>
            </w:r>
            <w:r>
              <w:fldChar w:fldCharType="begin"/>
            </w:r>
            <w:r>
              <w:instrText xml:space="preserve"> HYPERLINK "https://zhida.zhihu.com/search?content_id=270609033&amp;content_type=Article&amp;match_order=1&amp;q=%E5%A4%A7%E4%B8%AD%E5%8D%8E%E5%8C%BA&amp;zd_token=eyJhbGciOiJIUzI1NiIsInR5cCI6IkpXVCJ9.eyJpc3MiOiJ6aGlkYV9zZXJ2ZXIiLCJleHAiOjE3ODg1OTI3NjcsInEiOiLlpKfkuK3ljY7ljLoiLCJ6aGlkYV9zb3VyY2UiOiJlbnRpdHkiLCJjb250ZW50X2lkIjoyNzA2MDkwMzMsImNvbnRlbnRfdHlwZSI6IkFydGljbGUiLCJtYXRjaF9vcmRlciI6MSwiemRfdG9rZW4iOm51bGx9.FW4cOI4nEFCPlzNyAUkfjkDDedoiLw1XNyiEphse6ks&amp;zhida_source=entity" \t "_blank" </w:instrText>
            </w:r>
            <w:r>
              <w:fldChar w:fldCharType="separate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大中华区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fldChar w:fldCharType="end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药物警戒负责人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周凌芸</w:t>
            </w:r>
          </w:p>
        </w:tc>
      </w:tr>
    </w:tbl>
    <w:p w14:paraId="1B8E0A1E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94"/>
        <w:gridCol w:w="4406"/>
      </w:tblGrid>
      <w:tr w14:paraId="1B16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000" w:type="pct"/>
            <w:gridSpan w:val="2"/>
            <w:noWrap/>
            <w:vAlign w:val="center"/>
          </w:tcPr>
          <w:p w14:paraId="6BBF9338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4  医疗器械警戒试点成效与进展</w:t>
            </w:r>
          </w:p>
          <w:p w14:paraId="0602CA8A">
            <w:pPr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上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24F7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noWrap/>
            <w:vAlign w:val="center"/>
          </w:tcPr>
          <w:p w14:paraId="31CE153B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报告题目</w:t>
            </w:r>
          </w:p>
        </w:tc>
        <w:tc>
          <w:tcPr>
            <w:tcW w:w="2420" w:type="pct"/>
            <w:vAlign w:val="center"/>
          </w:tcPr>
          <w:p w14:paraId="4E8FA881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讲者</w:t>
            </w:r>
          </w:p>
        </w:tc>
      </w:tr>
      <w:tr w14:paraId="0E44A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shd w:val="clear" w:color="auto" w:fill="auto"/>
            <w:noWrap/>
            <w:vAlign w:val="center"/>
          </w:tcPr>
          <w:p w14:paraId="1436689D">
            <w:pPr>
              <w:widowControl/>
              <w:spacing w:line="4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深入推进医疗器械警戒试点工作思路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07AF32C2">
            <w:pPr>
              <w:widowControl/>
              <w:spacing w:line="4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国家药监局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器械监管司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监测抽验处副处长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  <w:t>徐崧</w:t>
            </w:r>
          </w:p>
        </w:tc>
      </w:tr>
      <w:tr w14:paraId="203D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shd w:val="clear" w:color="auto" w:fill="auto"/>
            <w:noWrap/>
            <w:vAlign w:val="center"/>
          </w:tcPr>
          <w:p w14:paraId="0E3A0E54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创新医疗器械上市前后监管联动与上市后主动监测研究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12BC25D7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北京安贞医院心脏瓣膜病介入中心主任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、主任医师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宋光远</w:t>
            </w:r>
          </w:p>
        </w:tc>
      </w:tr>
      <w:tr w14:paraId="3D5B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shd w:val="clear" w:color="auto" w:fill="auto"/>
            <w:noWrap/>
            <w:vAlign w:val="center"/>
          </w:tcPr>
          <w:p w14:paraId="3DA90BBB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针对医疗器械上市后主动监测的真实世界数据源质量评价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7483D892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北京大学真实世界证据评价中心主任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高培</w:t>
            </w:r>
          </w:p>
        </w:tc>
      </w:tr>
      <w:tr w14:paraId="7F17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shd w:val="clear" w:color="auto" w:fill="auto"/>
            <w:noWrap/>
            <w:vAlign w:val="center"/>
          </w:tcPr>
          <w:p w14:paraId="18322667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风险关口前移 推动产业升级：</w:t>
            </w:r>
          </w:p>
          <w:p w14:paraId="62430BE2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江苏省医疗器械警戒试点实践与阶段成效</w:t>
            </w:r>
          </w:p>
        </w:tc>
        <w:tc>
          <w:tcPr>
            <w:tcW w:w="2420" w:type="pct"/>
            <w:shd w:val="clear" w:color="auto" w:fill="auto"/>
            <w:vAlign w:val="center"/>
          </w:tcPr>
          <w:p w14:paraId="5C271CAB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江苏省药品不良反应监测中心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医疗器械化妆品监测评价科副科长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李尧</w:t>
            </w:r>
          </w:p>
        </w:tc>
      </w:tr>
      <w:tr w14:paraId="3760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noWrap/>
            <w:vAlign w:val="center"/>
          </w:tcPr>
          <w:p w14:paraId="73C5A6B5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临床实景注输类医疗器械警戒新范式试点工作进展情况介绍</w:t>
            </w:r>
          </w:p>
        </w:tc>
        <w:tc>
          <w:tcPr>
            <w:tcW w:w="2420" w:type="pct"/>
            <w:vAlign w:val="center"/>
          </w:tcPr>
          <w:p w14:paraId="6B00B566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辽宁省药品审评查验中心医疗器械监测与评价部部长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王立刚</w:t>
            </w:r>
          </w:p>
        </w:tc>
      </w:tr>
      <w:tr w14:paraId="7C8C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579" w:type="pct"/>
            <w:noWrap/>
            <w:vAlign w:val="center"/>
          </w:tcPr>
          <w:p w14:paraId="3F993742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跨国企业实施医疗器械警戒质量管理规范的实践</w:t>
            </w:r>
          </w:p>
        </w:tc>
        <w:tc>
          <w:tcPr>
            <w:tcW w:w="2420" w:type="pct"/>
            <w:vAlign w:val="center"/>
          </w:tcPr>
          <w:p w14:paraId="22272F4A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美敦力大中华区质量负责人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</w:p>
          <w:p w14:paraId="6E5E740A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褚军友</w:t>
            </w:r>
          </w:p>
        </w:tc>
      </w:tr>
    </w:tbl>
    <w:p w14:paraId="5EC5228A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9072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394"/>
      </w:tblGrid>
      <w:tr w14:paraId="30DAF7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95F74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5  监管科学研究</w:t>
            </w:r>
          </w:p>
          <w:p w14:paraId="0BE77542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上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154FC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29D8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报告题目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E8460">
            <w:pPr>
              <w:widowControl/>
              <w:spacing w:line="400" w:lineRule="exact"/>
              <w:jc w:val="center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讲者</w:t>
            </w:r>
          </w:p>
        </w:tc>
      </w:tr>
      <w:tr w14:paraId="54EBD3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4E884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AI辅助药物警戒决策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FA6A3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清华大学药学院研究员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杨悦</w:t>
            </w:r>
          </w:p>
        </w:tc>
      </w:tr>
      <w:tr w14:paraId="4F7CD7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E723F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基于真实世界数据的药品安全性主动监测评价方法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6BE0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四川大学华西医院循证医学中心副研究员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王雯</w:t>
            </w:r>
          </w:p>
        </w:tc>
      </w:tr>
      <w:tr w14:paraId="488061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939AF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药物警戒在风险发现中的作用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0929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山东省药品不良反应监测中心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李霞</w:t>
            </w:r>
          </w:p>
        </w:tc>
      </w:tr>
      <w:tr w14:paraId="058D6E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88292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审评监测双向贯通赋能药物警戒创新的探索与实践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F4991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福建省药品审评与监测评价中心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副主任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黄榕珍</w:t>
            </w:r>
          </w:p>
        </w:tc>
      </w:tr>
      <w:tr w14:paraId="25C7E4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31B69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真实世界证据（RWE）在药物警戒中的价值与实践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FBCC6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阿斯利康全球患者安全部中国团队首席安全医师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韩鹂</w:t>
            </w:r>
          </w:p>
        </w:tc>
      </w:tr>
    </w:tbl>
    <w:p w14:paraId="339BB368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9072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394"/>
      </w:tblGrid>
      <w:tr w14:paraId="31EFFA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7531583F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6  “三医”协同监测哨点药物警戒探索</w:t>
            </w:r>
          </w:p>
          <w:p w14:paraId="40BE7CB4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下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1BEE9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DF1DC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“三医”协同监测哨点药物警戒探索</w:t>
            </w: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——</w:t>
            </w:r>
            <w:r>
              <w:rPr>
                <w:rFonts w:hint="eastAsia"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基于麻醉医生视角的实践与思考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24641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中国医学科学院北京协和医院教授、主任医师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马璐璐</w:t>
            </w:r>
          </w:p>
        </w:tc>
      </w:tr>
      <w:tr w14:paraId="1153D6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5E686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待定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C67EB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国家医疗保障局医药价格和招标采购指导中心（拟邀）</w:t>
            </w:r>
          </w:p>
        </w:tc>
      </w:tr>
      <w:tr w14:paraId="6E7604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028E4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破壁·赋能·连通</w:t>
            </w:r>
            <w:r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  <w:t>——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从单维报告到多维联动，广东“三医”协同药物警戒建设探索和挑战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D979D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广东省药品不良反应监测中心一级高级主管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熊慧瑜</w:t>
            </w:r>
          </w:p>
        </w:tc>
      </w:tr>
      <w:tr w14:paraId="1EEDEF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21505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基于区域健康数据平台开展药物主动监测与案例经验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CDDA0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北京大学公共卫生学院教授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孙凤</w:t>
            </w:r>
          </w:p>
        </w:tc>
      </w:tr>
      <w:tr w14:paraId="173275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640E7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“三医”数据协同与药物警戒监测分析方法创新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3CE93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中国药科大学国际医药商学院副教授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柳鹏程</w:t>
            </w:r>
          </w:p>
        </w:tc>
      </w:tr>
      <w:tr w14:paraId="182B50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F58F3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真实世界数据在药品综合价值评价中的应用路径与展望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D99EB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14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spacing w:val="-14"/>
                <w:kern w:val="0"/>
                <w:sz w:val="30"/>
                <w:szCs w:val="30"/>
              </w:rPr>
              <w:t>国家卫生健康委卫生发展研究中心卫生技术评估综合研究室副主任</w:t>
            </w:r>
            <w:r>
              <w:rPr>
                <w:rFonts w:hint="eastAsia" w:ascii="Times New Roman" w:hAnsi="Times New Roman" w:eastAsia="仿宋"/>
                <w:color w:val="000000"/>
                <w:spacing w:val="-14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spacing w:val="-14"/>
                <w:kern w:val="0"/>
                <w:sz w:val="30"/>
                <w:szCs w:val="30"/>
              </w:rPr>
              <w:t>李雪</w:t>
            </w:r>
          </w:p>
        </w:tc>
      </w:tr>
    </w:tbl>
    <w:p w14:paraId="07706F52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9072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394"/>
      </w:tblGrid>
      <w:tr w14:paraId="5A87FC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2C516BE9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7  创新中药安全评价技术，推进中药警戒高质量发展</w:t>
            </w:r>
          </w:p>
          <w:p w14:paraId="7E832BE8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下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2CC73A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C7A34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符合中药特点的药物警戒体系构建与安全性评价创新技术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E1815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北京中医药大学中药药物警戒与合理用药研究中心主任、教授、主任医师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张冰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14:paraId="3313E9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FAA36">
            <w:pPr>
              <w:widowControl/>
              <w:jc w:val="left"/>
              <w:textAlignment w:val="bottom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中药注射剂临床安全性评价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38B6C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中国中医科学院教授、主任医师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谢雁鸣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14:paraId="203A88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B642F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已上市中药肝损伤风险评估技术要点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8A927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北京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地坛医院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中西医结合中心副主任、主任医师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江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宇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泳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14:paraId="41F995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B1B1C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中药创新药监测工作实践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1FD4E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国家药监局评价中心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中药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监测和评价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部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部长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夏东胜</w:t>
            </w:r>
          </w:p>
        </w:tc>
      </w:tr>
      <w:tr w14:paraId="363DB6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5FAA9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已上市中药说明书修订公告概况及案例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分析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1FDA4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宁夏药品审评查验和不良反应监测中心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评价监测科科长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柯秀琴</w:t>
            </w:r>
          </w:p>
        </w:tc>
      </w:tr>
      <w:tr w14:paraId="152618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7EE1B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广东省中药配方颗粒应用现状及临床风险识别评估研究探索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61B32">
            <w:pPr>
              <w:widowControl/>
              <w:spacing w:line="400" w:lineRule="exact"/>
              <w:jc w:val="lef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广东省药品不良反应监测中心一级主管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刘颖</w:t>
            </w:r>
          </w:p>
        </w:tc>
      </w:tr>
    </w:tbl>
    <w:p w14:paraId="56272119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9072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394"/>
      </w:tblGrid>
      <w:tr w14:paraId="01B448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517020C1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8  精准警戒，护航创新生物药发展</w:t>
            </w:r>
          </w:p>
          <w:p w14:paraId="22CFE1B0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下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1E3E9A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2F027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spacing w:val="-6"/>
                <w:kern w:val="0"/>
                <w:sz w:val="30"/>
                <w:szCs w:val="30"/>
              </w:rPr>
              <w:t>干细胞产品精准药物警戒的北京实践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A5B23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北京市药品不良反应监测中心副主任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付伟</w:t>
            </w:r>
          </w:p>
        </w:tc>
      </w:tr>
      <w:tr w14:paraId="7D4BC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DFF6C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创新型生物制品精准药物警戒试点实践和思考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CBC4D">
            <w:pPr>
              <w:widowControl/>
              <w:spacing w:line="400" w:lineRule="exact"/>
              <w:ind w:left="0" w:firstLine="0" w:firstLineChars="0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辽宁省药品审评查验中心副主任金丹</w:t>
            </w:r>
          </w:p>
        </w:tc>
      </w:tr>
      <w:tr w14:paraId="11F2CD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6E3D7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新工具赋能创新型生物制品上市后精准药物警戒新探索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FC4EF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上海市药品和医疗器械不良反应监测中心副主任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柴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雄</w:t>
            </w:r>
          </w:p>
        </w:tc>
      </w:tr>
      <w:tr w14:paraId="390E7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E7A2C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聚焦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CAR‑T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细胞治疗药品真实世界监测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——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浙江省创新型生物制品上市后精准药物警戒试点实践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98A40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浙江省药品化妆品审评中心副主任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梁锦锋</w:t>
            </w:r>
          </w:p>
        </w:tc>
      </w:tr>
      <w:tr w14:paraId="3E6D91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FD634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创新抗肿瘤生物药真实世界风险识别与药学监护实践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CDF72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中国医科大学附属第一医院药学部负责人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蔡爽</w:t>
            </w:r>
          </w:p>
        </w:tc>
      </w:tr>
      <w:tr w14:paraId="1334A5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A5234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数智赋能医疗机构药物不良反应监测的实践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9D68B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浙江大学医学院附属第一医院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临床药学部主任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赵青威</w:t>
            </w:r>
          </w:p>
        </w:tc>
      </w:tr>
    </w:tbl>
    <w:p w14:paraId="0BFE5BAB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9072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394"/>
      </w:tblGrid>
      <w:tr w14:paraId="18F380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28C8214B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9  高端医学装备主动监测研究探索</w:t>
            </w:r>
          </w:p>
          <w:p w14:paraId="7AF81A6A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下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37CC6A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A6920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医疗器械不良事件监测与警戒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：</w:t>
            </w:r>
          </w:p>
          <w:p w14:paraId="2C76BA51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工作现状、挑战与未来展望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62B5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评价中心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医疗器械监测与评价部副部长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赵燕</w:t>
            </w:r>
          </w:p>
        </w:tc>
      </w:tr>
      <w:tr w14:paraId="618778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72B30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山肺质子放疗运行情况及分析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745E9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山东省肿瘤医院放射物理技术科副主任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朱健</w:t>
            </w:r>
          </w:p>
        </w:tc>
      </w:tr>
      <w:tr w14:paraId="09BA55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E971D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  <w:highlight w:val="yellow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脑机接口类医疗器械临床应用关键技术和风险管控要点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68CB4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  <w:highlight w:val="yellow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首都医科大学附属北京天坛医院神经外科主任医师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highlight w:val="none"/>
              </w:rPr>
              <w:t>杨艺</w:t>
            </w:r>
          </w:p>
        </w:tc>
      </w:tr>
      <w:tr w14:paraId="0E2BC2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C45AE">
            <w:pPr>
              <w:widowControl/>
              <w:spacing w:line="400" w:lineRule="exact"/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医疗器械安全与性能基本原则在医疗器械评价中的应用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14A75">
            <w:pPr>
              <w:widowControl/>
              <w:spacing w:line="400" w:lineRule="exact"/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辽宁省检验检测认证中心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事业发展部部长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李非</w:t>
            </w:r>
          </w:p>
        </w:tc>
      </w:tr>
      <w:tr w14:paraId="78A3F5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E9A4E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医疗器械上市后风险管理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4B0C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全国医疗器械质量管理和通用要求标准化技术委员会委员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王慧芳</w:t>
            </w:r>
          </w:p>
        </w:tc>
      </w:tr>
      <w:tr w14:paraId="54665B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30E57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医疗器械警戒体系实践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79614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上海联影医疗科技股份有限公司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 质量管理部上市后监管高级经理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夏熹微</w:t>
            </w:r>
          </w:p>
        </w:tc>
      </w:tr>
    </w:tbl>
    <w:p w14:paraId="10810480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p w14:paraId="4A782B6B">
      <w:pPr>
        <w:widowControl/>
        <w:spacing w:line="400" w:lineRule="exact"/>
        <w:jc w:val="left"/>
        <w:rPr>
          <w:rFonts w:ascii="黑体" w:hAnsi="黑体" w:eastAsia="黑体" w:cs="Calibri"/>
          <w:bCs/>
          <w:color w:val="000000"/>
          <w:kern w:val="0"/>
          <w:sz w:val="30"/>
          <w:szCs w:val="30"/>
        </w:rPr>
      </w:pPr>
    </w:p>
    <w:tbl>
      <w:tblPr>
        <w:tblStyle w:val="10"/>
        <w:tblW w:w="9072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394"/>
      </w:tblGrid>
      <w:tr w14:paraId="1C61C2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90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5323D7DC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分会场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10  药物警戒数智化建设</w:t>
            </w:r>
          </w:p>
          <w:p w14:paraId="1C2E2AE3">
            <w:pPr>
              <w:widowControl/>
              <w:spacing w:line="400" w:lineRule="exact"/>
              <w:jc w:val="center"/>
              <w:rPr>
                <w:rFonts w:ascii="Times New Roman" w:hAnsi="Times New Roman" w:eastAsia="黑体"/>
                <w:sz w:val="30"/>
                <w:szCs w:val="30"/>
              </w:rPr>
            </w:pPr>
            <w:r>
              <w:rPr>
                <w:rFonts w:ascii="Times New Roman" w:hAnsi="Times New Roman" w:eastAsia="黑体"/>
                <w:sz w:val="30"/>
                <w:szCs w:val="30"/>
              </w:rPr>
              <w:t>10月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30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/>
                <w:sz w:val="30"/>
                <w:szCs w:val="30"/>
              </w:rPr>
              <w:t>下</w:t>
            </w:r>
            <w:r>
              <w:rPr>
                <w:rFonts w:ascii="Times New Roman" w:hAnsi="Times New Roman" w:eastAsia="黑体"/>
                <w:sz w:val="30"/>
                <w:szCs w:val="30"/>
              </w:rPr>
              <w:t>午</w:t>
            </w:r>
          </w:p>
        </w:tc>
      </w:tr>
      <w:tr w14:paraId="0CD86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95B2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国家药品不良反应监测系统数智化建设的思考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4D246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国家药监局评价中心科研和信息管理处处长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宋海波</w:t>
            </w:r>
          </w:p>
        </w:tc>
      </w:tr>
      <w:tr w14:paraId="5A133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50EAB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hAnsi="仿宋" w:eastAsia="仿宋"/>
                <w:color w:val="000000"/>
                <w:kern w:val="0"/>
                <w:sz w:val="30"/>
                <w:szCs w:val="30"/>
              </w:rPr>
              <w:t>“人工智能+药品监管”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顶层设计与应用实践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3D88B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国家药监局信息中心（拟邀）</w:t>
            </w:r>
          </w:p>
        </w:tc>
      </w:tr>
      <w:tr w14:paraId="18E5F4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6A5B5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中药评价及安全预警数智化模型构建及应用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68BB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山东中医药大学药物研究院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 xml:space="preserve">院长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赵渤年</w:t>
            </w:r>
          </w:p>
        </w:tc>
      </w:tr>
      <w:tr w14:paraId="13A87D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AA51F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AI辅助药物警戒系统的设计和挑战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B1998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北京大学第一医院信息中心主任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周国鹏</w:t>
            </w:r>
          </w:p>
        </w:tc>
      </w:tr>
      <w:tr w14:paraId="2CFE89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93AD5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人工智能辅助信号评估与风险量化决策探索与实践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34E51">
            <w:pPr>
              <w:widowControl/>
              <w:spacing w:line="400" w:lineRule="exact"/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广西壮族自治区药品不良反应监测中心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</w:rPr>
              <w:t>主任</w:t>
            </w:r>
            <w:r>
              <w:rPr>
                <w:rFonts w:hint="eastAsia" w:ascii="Times New Roman" w:hAnsi="Times New Roman" w:eastAsia="仿宋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/>
                <w:color w:val="000000"/>
                <w:kern w:val="0"/>
                <w:sz w:val="30"/>
                <w:szCs w:val="30"/>
              </w:rPr>
              <w:t>梁国泉</w:t>
            </w:r>
          </w:p>
        </w:tc>
      </w:tr>
    </w:tbl>
    <w:p w14:paraId="43393914">
      <w:pPr>
        <w:widowControl/>
        <w:jc w:val="left"/>
        <w:rPr>
          <w:rFonts w:ascii="黑体" w:hAnsi="黑体" w:eastAsia="黑体" w:cs="Calibri"/>
          <w:bCs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418" w:bottom="1440" w:left="1418" w:header="851" w:footer="992" w:gutter="0"/>
      <w:pgNumType w:fmt="numberInDash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07C6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B9E223">
                          <w:pPr>
                            <w:pStyle w:val="7"/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B9E223">
                    <w:pPr>
                      <w:pStyle w:val="7"/>
                      <w:rPr>
                        <w:rFonts w:hint="eastAsia"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WU2Zjc3N2UyYWE3M2M5Mzg1MjU4MWQwYzdiZmUifQ=="/>
  </w:docVars>
  <w:rsids>
    <w:rsidRoot w:val="009914D7"/>
    <w:rsid w:val="00007274"/>
    <w:rsid w:val="00012AF0"/>
    <w:rsid w:val="0001572E"/>
    <w:rsid w:val="00036666"/>
    <w:rsid w:val="00051E88"/>
    <w:rsid w:val="00082F8F"/>
    <w:rsid w:val="00093022"/>
    <w:rsid w:val="000A4301"/>
    <w:rsid w:val="000A4DDC"/>
    <w:rsid w:val="000B2730"/>
    <w:rsid w:val="000B4662"/>
    <w:rsid w:val="000B5D86"/>
    <w:rsid w:val="000B61E7"/>
    <w:rsid w:val="000C43C5"/>
    <w:rsid w:val="000C58B3"/>
    <w:rsid w:val="000C6082"/>
    <w:rsid w:val="000E684C"/>
    <w:rsid w:val="000F26BC"/>
    <w:rsid w:val="000F319A"/>
    <w:rsid w:val="00110615"/>
    <w:rsid w:val="00112C8E"/>
    <w:rsid w:val="00115230"/>
    <w:rsid w:val="0012429E"/>
    <w:rsid w:val="00130A42"/>
    <w:rsid w:val="00130CC2"/>
    <w:rsid w:val="001371A1"/>
    <w:rsid w:val="00153B52"/>
    <w:rsid w:val="0015406D"/>
    <w:rsid w:val="00174112"/>
    <w:rsid w:val="001749CC"/>
    <w:rsid w:val="00182986"/>
    <w:rsid w:val="0018571A"/>
    <w:rsid w:val="001874DD"/>
    <w:rsid w:val="00196A47"/>
    <w:rsid w:val="0019754E"/>
    <w:rsid w:val="001A69C8"/>
    <w:rsid w:val="001B5C28"/>
    <w:rsid w:val="001C3E4A"/>
    <w:rsid w:val="001C412B"/>
    <w:rsid w:val="001C48B8"/>
    <w:rsid w:val="001F1322"/>
    <w:rsid w:val="00200904"/>
    <w:rsid w:val="00210EC2"/>
    <w:rsid w:val="00211232"/>
    <w:rsid w:val="00211B5F"/>
    <w:rsid w:val="00215761"/>
    <w:rsid w:val="00217D37"/>
    <w:rsid w:val="002239E5"/>
    <w:rsid w:val="0022620F"/>
    <w:rsid w:val="002346A1"/>
    <w:rsid w:val="00247784"/>
    <w:rsid w:val="00253816"/>
    <w:rsid w:val="002579A6"/>
    <w:rsid w:val="0027039E"/>
    <w:rsid w:val="002800AB"/>
    <w:rsid w:val="002807F4"/>
    <w:rsid w:val="002867E0"/>
    <w:rsid w:val="002924DC"/>
    <w:rsid w:val="00293885"/>
    <w:rsid w:val="0029644D"/>
    <w:rsid w:val="002A0FB9"/>
    <w:rsid w:val="002A190F"/>
    <w:rsid w:val="002A5423"/>
    <w:rsid w:val="002C0921"/>
    <w:rsid w:val="002D4438"/>
    <w:rsid w:val="002D5001"/>
    <w:rsid w:val="002E0E4C"/>
    <w:rsid w:val="002E1361"/>
    <w:rsid w:val="002E6644"/>
    <w:rsid w:val="002F36D0"/>
    <w:rsid w:val="003007D9"/>
    <w:rsid w:val="0030101A"/>
    <w:rsid w:val="00305C0B"/>
    <w:rsid w:val="00317278"/>
    <w:rsid w:val="003208E4"/>
    <w:rsid w:val="00325049"/>
    <w:rsid w:val="003262C3"/>
    <w:rsid w:val="00327D72"/>
    <w:rsid w:val="00335E11"/>
    <w:rsid w:val="00336CA4"/>
    <w:rsid w:val="00337DAA"/>
    <w:rsid w:val="003407F2"/>
    <w:rsid w:val="00351159"/>
    <w:rsid w:val="00351F5C"/>
    <w:rsid w:val="00357242"/>
    <w:rsid w:val="00376369"/>
    <w:rsid w:val="003B251F"/>
    <w:rsid w:val="003C677E"/>
    <w:rsid w:val="003D2568"/>
    <w:rsid w:val="003F0A36"/>
    <w:rsid w:val="003F2E3D"/>
    <w:rsid w:val="004031C0"/>
    <w:rsid w:val="0041238C"/>
    <w:rsid w:val="004227BE"/>
    <w:rsid w:val="00430A31"/>
    <w:rsid w:val="0043247E"/>
    <w:rsid w:val="00444C15"/>
    <w:rsid w:val="00452E37"/>
    <w:rsid w:val="004532E4"/>
    <w:rsid w:val="00462B03"/>
    <w:rsid w:val="004657F0"/>
    <w:rsid w:val="004804F6"/>
    <w:rsid w:val="00480D3D"/>
    <w:rsid w:val="00482192"/>
    <w:rsid w:val="00483B68"/>
    <w:rsid w:val="00484453"/>
    <w:rsid w:val="00486B40"/>
    <w:rsid w:val="0048729F"/>
    <w:rsid w:val="00494552"/>
    <w:rsid w:val="004B1877"/>
    <w:rsid w:val="004B4BE2"/>
    <w:rsid w:val="004B53ED"/>
    <w:rsid w:val="004B560C"/>
    <w:rsid w:val="004C5307"/>
    <w:rsid w:val="004D1903"/>
    <w:rsid w:val="004D69E8"/>
    <w:rsid w:val="004D774A"/>
    <w:rsid w:val="004F485E"/>
    <w:rsid w:val="00506F16"/>
    <w:rsid w:val="0052513A"/>
    <w:rsid w:val="005309C0"/>
    <w:rsid w:val="00531A60"/>
    <w:rsid w:val="00551C8F"/>
    <w:rsid w:val="00563B20"/>
    <w:rsid w:val="00566367"/>
    <w:rsid w:val="00572E3D"/>
    <w:rsid w:val="005818EC"/>
    <w:rsid w:val="00594900"/>
    <w:rsid w:val="005C5AEF"/>
    <w:rsid w:val="005E01B5"/>
    <w:rsid w:val="005E3184"/>
    <w:rsid w:val="005E4BCD"/>
    <w:rsid w:val="005E5D4A"/>
    <w:rsid w:val="005F19F7"/>
    <w:rsid w:val="005F3749"/>
    <w:rsid w:val="005F729D"/>
    <w:rsid w:val="00623E03"/>
    <w:rsid w:val="00630265"/>
    <w:rsid w:val="0066595D"/>
    <w:rsid w:val="006671F5"/>
    <w:rsid w:val="00676C34"/>
    <w:rsid w:val="00680278"/>
    <w:rsid w:val="0068357C"/>
    <w:rsid w:val="00695A43"/>
    <w:rsid w:val="00697C6A"/>
    <w:rsid w:val="006B2306"/>
    <w:rsid w:val="006C0F66"/>
    <w:rsid w:val="006C6A7C"/>
    <w:rsid w:val="006D1CE7"/>
    <w:rsid w:val="006D60B7"/>
    <w:rsid w:val="006E0C8B"/>
    <w:rsid w:val="006F1C98"/>
    <w:rsid w:val="006F236E"/>
    <w:rsid w:val="006F774C"/>
    <w:rsid w:val="00710027"/>
    <w:rsid w:val="007206CB"/>
    <w:rsid w:val="0073056B"/>
    <w:rsid w:val="007343D3"/>
    <w:rsid w:val="00736A26"/>
    <w:rsid w:val="00741CC6"/>
    <w:rsid w:val="007462E1"/>
    <w:rsid w:val="007510B7"/>
    <w:rsid w:val="0075208B"/>
    <w:rsid w:val="00757DA0"/>
    <w:rsid w:val="00761924"/>
    <w:rsid w:val="00766539"/>
    <w:rsid w:val="007703FB"/>
    <w:rsid w:val="0078257C"/>
    <w:rsid w:val="00784791"/>
    <w:rsid w:val="00787FEB"/>
    <w:rsid w:val="00793984"/>
    <w:rsid w:val="00797E13"/>
    <w:rsid w:val="007A013A"/>
    <w:rsid w:val="007A0992"/>
    <w:rsid w:val="007A2C76"/>
    <w:rsid w:val="007B523D"/>
    <w:rsid w:val="007C1A2F"/>
    <w:rsid w:val="007C2389"/>
    <w:rsid w:val="007C54A4"/>
    <w:rsid w:val="007E0536"/>
    <w:rsid w:val="007E50BF"/>
    <w:rsid w:val="00802503"/>
    <w:rsid w:val="00803CD9"/>
    <w:rsid w:val="00822C57"/>
    <w:rsid w:val="00832D42"/>
    <w:rsid w:val="00837419"/>
    <w:rsid w:val="00846312"/>
    <w:rsid w:val="00847C80"/>
    <w:rsid w:val="00860266"/>
    <w:rsid w:val="0087771E"/>
    <w:rsid w:val="00890453"/>
    <w:rsid w:val="008930ED"/>
    <w:rsid w:val="008C1C82"/>
    <w:rsid w:val="008D7C46"/>
    <w:rsid w:val="008E0B29"/>
    <w:rsid w:val="008E50DF"/>
    <w:rsid w:val="008F7A0E"/>
    <w:rsid w:val="00904AC9"/>
    <w:rsid w:val="00911E79"/>
    <w:rsid w:val="00917897"/>
    <w:rsid w:val="009250E3"/>
    <w:rsid w:val="00925980"/>
    <w:rsid w:val="009322CB"/>
    <w:rsid w:val="0093516A"/>
    <w:rsid w:val="00943E39"/>
    <w:rsid w:val="009510C1"/>
    <w:rsid w:val="00963BE4"/>
    <w:rsid w:val="0097210B"/>
    <w:rsid w:val="00981F37"/>
    <w:rsid w:val="009914D7"/>
    <w:rsid w:val="009A4896"/>
    <w:rsid w:val="009A5C5F"/>
    <w:rsid w:val="009C3037"/>
    <w:rsid w:val="009C634C"/>
    <w:rsid w:val="009D7112"/>
    <w:rsid w:val="009D7193"/>
    <w:rsid w:val="009F2383"/>
    <w:rsid w:val="009F3A60"/>
    <w:rsid w:val="00A05B13"/>
    <w:rsid w:val="00A162B6"/>
    <w:rsid w:val="00A25A42"/>
    <w:rsid w:val="00A25AFC"/>
    <w:rsid w:val="00A3011F"/>
    <w:rsid w:val="00A4453D"/>
    <w:rsid w:val="00A535CE"/>
    <w:rsid w:val="00A6423F"/>
    <w:rsid w:val="00A86504"/>
    <w:rsid w:val="00A9799F"/>
    <w:rsid w:val="00AA2D97"/>
    <w:rsid w:val="00AA452F"/>
    <w:rsid w:val="00AD18DC"/>
    <w:rsid w:val="00AD5E77"/>
    <w:rsid w:val="00AE3254"/>
    <w:rsid w:val="00AE5C14"/>
    <w:rsid w:val="00B038CA"/>
    <w:rsid w:val="00B10FC9"/>
    <w:rsid w:val="00B1300E"/>
    <w:rsid w:val="00B159A9"/>
    <w:rsid w:val="00B31DE3"/>
    <w:rsid w:val="00B33BC5"/>
    <w:rsid w:val="00B35DB3"/>
    <w:rsid w:val="00B4714A"/>
    <w:rsid w:val="00B56D5E"/>
    <w:rsid w:val="00B6185B"/>
    <w:rsid w:val="00B73E8A"/>
    <w:rsid w:val="00B809F6"/>
    <w:rsid w:val="00B86F55"/>
    <w:rsid w:val="00B972AC"/>
    <w:rsid w:val="00BA3AAA"/>
    <w:rsid w:val="00BA76CB"/>
    <w:rsid w:val="00BB014C"/>
    <w:rsid w:val="00BB3E2A"/>
    <w:rsid w:val="00BB4B62"/>
    <w:rsid w:val="00BC76A7"/>
    <w:rsid w:val="00BC79AF"/>
    <w:rsid w:val="00BD1905"/>
    <w:rsid w:val="00C03637"/>
    <w:rsid w:val="00C04E21"/>
    <w:rsid w:val="00C179D9"/>
    <w:rsid w:val="00C47817"/>
    <w:rsid w:val="00C5302A"/>
    <w:rsid w:val="00C625A7"/>
    <w:rsid w:val="00C80C31"/>
    <w:rsid w:val="00C87CF4"/>
    <w:rsid w:val="00C92835"/>
    <w:rsid w:val="00CA20B2"/>
    <w:rsid w:val="00CA7F5D"/>
    <w:rsid w:val="00CB578A"/>
    <w:rsid w:val="00CC7F9E"/>
    <w:rsid w:val="00CD17DA"/>
    <w:rsid w:val="00CE1207"/>
    <w:rsid w:val="00CF26F3"/>
    <w:rsid w:val="00D007FE"/>
    <w:rsid w:val="00D0644C"/>
    <w:rsid w:val="00D21744"/>
    <w:rsid w:val="00D3420E"/>
    <w:rsid w:val="00D4280A"/>
    <w:rsid w:val="00D45196"/>
    <w:rsid w:val="00D509E0"/>
    <w:rsid w:val="00D656B1"/>
    <w:rsid w:val="00D71B54"/>
    <w:rsid w:val="00D81DBF"/>
    <w:rsid w:val="00D83B44"/>
    <w:rsid w:val="00D83C9A"/>
    <w:rsid w:val="00DA71B8"/>
    <w:rsid w:val="00DB56C3"/>
    <w:rsid w:val="00DB7478"/>
    <w:rsid w:val="00DC4F25"/>
    <w:rsid w:val="00DE1532"/>
    <w:rsid w:val="00DE4046"/>
    <w:rsid w:val="00DE4320"/>
    <w:rsid w:val="00DE4990"/>
    <w:rsid w:val="00DE5158"/>
    <w:rsid w:val="00DE649B"/>
    <w:rsid w:val="00E00499"/>
    <w:rsid w:val="00E02FE8"/>
    <w:rsid w:val="00E03446"/>
    <w:rsid w:val="00E13F81"/>
    <w:rsid w:val="00E14938"/>
    <w:rsid w:val="00E3046F"/>
    <w:rsid w:val="00E44ECA"/>
    <w:rsid w:val="00E56840"/>
    <w:rsid w:val="00E63E1A"/>
    <w:rsid w:val="00E6663F"/>
    <w:rsid w:val="00E7152B"/>
    <w:rsid w:val="00E71A46"/>
    <w:rsid w:val="00E74D31"/>
    <w:rsid w:val="00E7643D"/>
    <w:rsid w:val="00E76EBB"/>
    <w:rsid w:val="00E96A93"/>
    <w:rsid w:val="00EA2589"/>
    <w:rsid w:val="00EC05B4"/>
    <w:rsid w:val="00EC3D51"/>
    <w:rsid w:val="00ED7BB4"/>
    <w:rsid w:val="00ED7F09"/>
    <w:rsid w:val="00EE4315"/>
    <w:rsid w:val="00EE65F8"/>
    <w:rsid w:val="00EF7ACD"/>
    <w:rsid w:val="00F218E1"/>
    <w:rsid w:val="00F26619"/>
    <w:rsid w:val="00F31086"/>
    <w:rsid w:val="00F57C00"/>
    <w:rsid w:val="00F73985"/>
    <w:rsid w:val="00F77E81"/>
    <w:rsid w:val="00F80FDD"/>
    <w:rsid w:val="00F961B5"/>
    <w:rsid w:val="00FA6AF4"/>
    <w:rsid w:val="00FD6A11"/>
    <w:rsid w:val="00FD7DE2"/>
    <w:rsid w:val="02080063"/>
    <w:rsid w:val="049F1C75"/>
    <w:rsid w:val="06A55DD7"/>
    <w:rsid w:val="06F320C4"/>
    <w:rsid w:val="085042E7"/>
    <w:rsid w:val="0B84191D"/>
    <w:rsid w:val="0C0457C1"/>
    <w:rsid w:val="0C2A1346"/>
    <w:rsid w:val="0CBE7D4A"/>
    <w:rsid w:val="0F1D1DF6"/>
    <w:rsid w:val="0FEA69B6"/>
    <w:rsid w:val="104B514A"/>
    <w:rsid w:val="153177A4"/>
    <w:rsid w:val="18DA283C"/>
    <w:rsid w:val="1A5B334B"/>
    <w:rsid w:val="1A692327"/>
    <w:rsid w:val="1B46240B"/>
    <w:rsid w:val="1E3845A0"/>
    <w:rsid w:val="1FCB4B90"/>
    <w:rsid w:val="209D30B8"/>
    <w:rsid w:val="222F54A5"/>
    <w:rsid w:val="22DA5F36"/>
    <w:rsid w:val="23AD2490"/>
    <w:rsid w:val="244514B2"/>
    <w:rsid w:val="281218DC"/>
    <w:rsid w:val="2AFF7A25"/>
    <w:rsid w:val="30AF201B"/>
    <w:rsid w:val="32013A26"/>
    <w:rsid w:val="328E671A"/>
    <w:rsid w:val="329F26D5"/>
    <w:rsid w:val="368B10DF"/>
    <w:rsid w:val="37AF89A2"/>
    <w:rsid w:val="37FB12E2"/>
    <w:rsid w:val="3ABF73E0"/>
    <w:rsid w:val="3AC233B0"/>
    <w:rsid w:val="3C8B1013"/>
    <w:rsid w:val="3F4773A6"/>
    <w:rsid w:val="401E08A1"/>
    <w:rsid w:val="436157CD"/>
    <w:rsid w:val="48224DCD"/>
    <w:rsid w:val="4DFE254E"/>
    <w:rsid w:val="4F5D14F6"/>
    <w:rsid w:val="4FFC080A"/>
    <w:rsid w:val="50F376A5"/>
    <w:rsid w:val="559D3943"/>
    <w:rsid w:val="56F00674"/>
    <w:rsid w:val="572D6C19"/>
    <w:rsid w:val="58FD1B11"/>
    <w:rsid w:val="59A419AA"/>
    <w:rsid w:val="5B8F2F1B"/>
    <w:rsid w:val="5BC606CC"/>
    <w:rsid w:val="5C262AE1"/>
    <w:rsid w:val="65797260"/>
    <w:rsid w:val="659A6BA8"/>
    <w:rsid w:val="6707090A"/>
    <w:rsid w:val="686D4806"/>
    <w:rsid w:val="68C3086F"/>
    <w:rsid w:val="6A33684E"/>
    <w:rsid w:val="6A372C18"/>
    <w:rsid w:val="6C4055FF"/>
    <w:rsid w:val="6FF408ED"/>
    <w:rsid w:val="7352461E"/>
    <w:rsid w:val="73F8418F"/>
    <w:rsid w:val="75A370A3"/>
    <w:rsid w:val="7A3A0597"/>
    <w:rsid w:val="7C2D0F6C"/>
    <w:rsid w:val="7DF74E0F"/>
    <w:rsid w:val="7F466BD1"/>
    <w:rsid w:val="B5F7A91A"/>
    <w:rsid w:val="F69707DA"/>
    <w:rsid w:val="FAFEE8FC"/>
    <w:rsid w:val="FE7FF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qFormat/>
    <w:uiPriority w:val="0"/>
    <w:pPr>
      <w:jc w:val="left"/>
    </w:p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link w:val="17"/>
    <w:qFormat/>
    <w:uiPriority w:val="0"/>
    <w:rPr>
      <w:sz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annotation subject"/>
    <w:basedOn w:val="4"/>
    <w:next w:val="4"/>
    <w:link w:val="22"/>
    <w:qFormat/>
    <w:uiPriority w:val="0"/>
    <w:rPr>
      <w:b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</w:rPr>
  </w:style>
  <w:style w:type="character" w:customStyle="1" w:styleId="15">
    <w:name w:val="页眉 Char"/>
    <w:link w:val="8"/>
    <w:qFormat/>
    <w:uiPriority w:val="99"/>
    <w:rPr>
      <w:sz w:val="18"/>
    </w:rPr>
  </w:style>
  <w:style w:type="character" w:customStyle="1" w:styleId="16">
    <w:name w:val="页脚 Char"/>
    <w:link w:val="7"/>
    <w:qFormat/>
    <w:uiPriority w:val="99"/>
    <w:rPr>
      <w:sz w:val="18"/>
    </w:rPr>
  </w:style>
  <w:style w:type="character" w:customStyle="1" w:styleId="17">
    <w:name w:val="批注框文本 Char"/>
    <w:link w:val="6"/>
    <w:semiHidden/>
    <w:qFormat/>
    <w:uiPriority w:val="99"/>
    <w:rPr>
      <w:sz w:val="18"/>
    </w:rPr>
  </w:style>
  <w:style w:type="character" w:customStyle="1" w:styleId="18">
    <w:name w:val="日期 Char"/>
    <w:link w:val="5"/>
    <w:semiHidden/>
    <w:qFormat/>
    <w:uiPriority w:val="99"/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标题 2 Char"/>
    <w:link w:val="3"/>
    <w:qFormat/>
    <w:uiPriority w:val="1"/>
    <w:rPr>
      <w:rFonts w:ascii="Arial" w:hAnsi="Arial" w:eastAsia="黑体"/>
      <w:b/>
      <w:sz w:val="32"/>
    </w:rPr>
  </w:style>
  <w:style w:type="character" w:customStyle="1" w:styleId="21">
    <w:name w:val="批注文字 Char"/>
    <w:link w:val="4"/>
    <w:semiHidden/>
    <w:qFormat/>
    <w:uiPriority w:val="99"/>
  </w:style>
  <w:style w:type="character" w:customStyle="1" w:styleId="22">
    <w:name w:val="批注主题 Char"/>
    <w:link w:val="9"/>
    <w:semiHidden/>
    <w:qFormat/>
    <w:uiPriority w:val="99"/>
    <w:rPr>
      <w:b/>
    </w:rPr>
  </w:style>
  <w:style w:type="paragraph" w:customStyle="1" w:styleId="23">
    <w:name w:val="公文正文标题"/>
    <w:basedOn w:val="1"/>
    <w:qFormat/>
    <w:uiPriority w:val="0"/>
    <w:pPr>
      <w:spacing w:before="100" w:beforeLines="100" w:after="100" w:afterLines="100" w:line="640" w:lineRule="exact"/>
      <w:jc w:val="center"/>
    </w:pPr>
    <w:rPr>
      <w:rFonts w:ascii="方正小标宋简体" w:hAnsi="方正小标宋简体" w:eastAsia="方正小标宋简体" w:cs="仿宋"/>
      <w:sz w:val="44"/>
      <w:szCs w:val="44"/>
    </w:rPr>
  </w:style>
  <w:style w:type="paragraph" w:customStyle="1" w:styleId="24">
    <w:name w:val="附件"/>
    <w:basedOn w:val="1"/>
    <w:next w:val="23"/>
    <w:qFormat/>
    <w:uiPriority w:val="0"/>
    <w:pPr>
      <w:spacing w:line="540" w:lineRule="exact"/>
      <w:jc w:val="left"/>
    </w:pPr>
    <w:rPr>
      <w:rFonts w:ascii="黑体" w:hAnsi="黑体" w:eastAsia="黑体"/>
      <w:sz w:val="32"/>
    </w:rPr>
  </w:style>
  <w:style w:type="paragraph" w:customStyle="1" w:styleId="25">
    <w:name w:val="一级标题"/>
    <w:basedOn w:val="1"/>
    <w:link w:val="28"/>
    <w:qFormat/>
    <w:uiPriority w:val="0"/>
    <w:pPr>
      <w:spacing w:line="540" w:lineRule="exact"/>
      <w:ind w:firstLine="640" w:firstLineChars="200"/>
    </w:pPr>
    <w:rPr>
      <w:rFonts w:ascii="黑体" w:hAnsi="黑体" w:eastAsia="黑体"/>
      <w:sz w:val="32"/>
    </w:rPr>
  </w:style>
  <w:style w:type="paragraph" w:customStyle="1" w:styleId="26">
    <w:name w:val="二级标题"/>
    <w:basedOn w:val="1"/>
    <w:qFormat/>
    <w:uiPriority w:val="0"/>
    <w:pPr>
      <w:spacing w:line="540" w:lineRule="exact"/>
      <w:ind w:firstLine="640" w:firstLineChars="200"/>
    </w:pPr>
    <w:rPr>
      <w:rFonts w:ascii="楷体" w:hAnsi="楷体" w:eastAsia="楷体" w:cs="仿宋"/>
      <w:sz w:val="32"/>
      <w:szCs w:val="44"/>
    </w:rPr>
  </w:style>
  <w:style w:type="paragraph" w:customStyle="1" w:styleId="27">
    <w:name w:val="公文正文"/>
    <w:basedOn w:val="1"/>
    <w:qFormat/>
    <w:uiPriority w:val="0"/>
    <w:pPr>
      <w:spacing w:line="540" w:lineRule="exact"/>
      <w:ind w:firstLine="640" w:firstLineChars="200"/>
    </w:pPr>
    <w:rPr>
      <w:rFonts w:ascii="Times New Roman" w:hAnsi="Times New Roman" w:eastAsia="仿宋" w:cs="仿宋"/>
      <w:sz w:val="32"/>
      <w:szCs w:val="44"/>
    </w:rPr>
  </w:style>
  <w:style w:type="character" w:customStyle="1" w:styleId="28">
    <w:name w:val="一级标题 Char"/>
    <w:link w:val="25"/>
    <w:qFormat/>
    <w:uiPriority w:val="0"/>
    <w:rPr>
      <w:rFonts w:ascii="黑体" w:hAnsi="黑体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3041</Words>
  <Characters>3091</Characters>
  <Lines>26</Lines>
  <Paragraphs>7</Paragraphs>
  <TotalTime>20</TotalTime>
  <ScaleCrop>false</ScaleCrop>
  <LinksUpToDate>false</LinksUpToDate>
  <CharactersWithSpaces>3173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2023-09-20T11:08:00Z</dcterms:created>
  <dc:creator>申长慧</dc:creator>
  <cp:lastModifiedBy>喵小喵</cp:lastModifiedBy>
  <cp:lastPrinted>2026-09-07T00:53:00Z</cp:lastPrinted>
  <dcterms:modified xsi:type="dcterms:W3CDTF">2026-09-10T05:54:57Z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eyJoZGlkIjoiODJkMzQ0OWZlMzY0ZGYxYjFmYmI3MDlmNGM5YzBhMmEiLCJ1c2VySWQiOiI3NDExOTA3OTYifQ==</vt:lpwstr>
  </property>
  <property fmtid="{D5CDD505-2E9C-101B-9397-08002B2CF9AE}" pid="4" name="ICV">
    <vt:lpwstr>31C7AE69A28540AD91881E757AD23ACB_13</vt:lpwstr>
  </property>
</Properties>
</file>