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B4" w:rsidRPr="006B4AE6" w:rsidRDefault="009843B4" w:rsidP="009843B4">
      <w:pPr>
        <w:adjustRightInd w:val="0"/>
        <w:snapToGrid w:val="0"/>
        <w:spacing w:line="560" w:lineRule="exact"/>
        <w:jc w:val="left"/>
        <w:rPr>
          <w:rFonts w:ascii="黑体" w:eastAsia="黑体" w:hAnsi="黑体"/>
          <w:kern w:val="0"/>
          <w:sz w:val="32"/>
          <w:szCs w:val="32"/>
        </w:rPr>
      </w:pPr>
      <w:r w:rsidRPr="006B4AE6">
        <w:rPr>
          <w:rFonts w:ascii="黑体" w:eastAsia="黑体" w:hAnsi="黑体" w:hint="eastAsia"/>
          <w:kern w:val="0"/>
          <w:sz w:val="32"/>
          <w:szCs w:val="32"/>
        </w:rPr>
        <w:t>附件1</w:t>
      </w:r>
    </w:p>
    <w:p w:rsidR="00702547" w:rsidRDefault="009843B4">
      <w:pPr>
        <w:adjustRightInd w:val="0"/>
        <w:snapToGrid w:val="0"/>
        <w:spacing w:line="560" w:lineRule="exact"/>
        <w:jc w:val="center"/>
        <w:rPr>
          <w:rFonts w:eastAsia="方正小标宋简体"/>
          <w:kern w:val="0"/>
          <w:sz w:val="36"/>
          <w:szCs w:val="36"/>
        </w:rPr>
      </w:pPr>
      <w:bookmarkStart w:id="0" w:name="_GoBack"/>
      <w:r>
        <w:rPr>
          <w:rFonts w:eastAsia="方正小标宋简体" w:hint="eastAsia"/>
          <w:kern w:val="0"/>
          <w:sz w:val="36"/>
          <w:szCs w:val="36"/>
        </w:rPr>
        <w:t>医疗器械上市许可持有人产品风险评价指导原则</w:t>
      </w:r>
      <w:bookmarkEnd w:id="0"/>
    </w:p>
    <w:p w:rsidR="00702547" w:rsidRDefault="009843B4">
      <w:pPr>
        <w:adjustRightInd w:val="0"/>
        <w:snapToGrid w:val="0"/>
        <w:spacing w:line="560" w:lineRule="exact"/>
        <w:jc w:val="center"/>
        <w:rPr>
          <w:rFonts w:eastAsia="方正小标宋简体"/>
          <w:kern w:val="0"/>
          <w:sz w:val="36"/>
          <w:szCs w:val="36"/>
        </w:rPr>
      </w:pPr>
      <w:r>
        <w:rPr>
          <w:rFonts w:eastAsia="方正小标宋简体" w:hint="eastAsia"/>
          <w:kern w:val="0"/>
          <w:sz w:val="36"/>
          <w:szCs w:val="36"/>
        </w:rPr>
        <w:t>（征求意见稿）</w:t>
      </w:r>
    </w:p>
    <w:p w:rsidR="00702547" w:rsidRDefault="00702547">
      <w:pPr>
        <w:adjustRightInd w:val="0"/>
        <w:snapToGrid w:val="0"/>
        <w:spacing w:line="560" w:lineRule="exact"/>
        <w:jc w:val="center"/>
        <w:rPr>
          <w:rFonts w:eastAsia="方正小标宋简体"/>
          <w:kern w:val="0"/>
          <w:sz w:val="36"/>
          <w:szCs w:val="36"/>
        </w:rPr>
      </w:pPr>
    </w:p>
    <w:p w:rsidR="00702547" w:rsidRDefault="009843B4">
      <w:pPr>
        <w:numPr>
          <w:ilvl w:val="0"/>
          <w:numId w:val="1"/>
        </w:numPr>
        <w:overflowPunct w:val="0"/>
        <w:adjustRightInd w:val="0"/>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目的</w:t>
      </w:r>
    </w:p>
    <w:p w:rsidR="00702547" w:rsidRDefault="009843B4">
      <w:pPr>
        <w:overflowPunct w:val="0"/>
        <w:adjustRightInd w:val="0"/>
        <w:snapToGrid w:val="0"/>
        <w:spacing w:line="560" w:lineRule="exact"/>
        <w:ind w:firstLineChars="200" w:firstLine="640"/>
        <w:rPr>
          <w:rFonts w:ascii="黑体" w:eastAsia="黑体" w:hAnsi="黑体" w:cs="黑体"/>
          <w:sz w:val="32"/>
          <w:szCs w:val="32"/>
        </w:rPr>
      </w:pPr>
      <w:r>
        <w:rPr>
          <w:rFonts w:eastAsia="仿宋_GB2312" w:hint="eastAsia"/>
          <w:sz w:val="32"/>
          <w:szCs w:val="32"/>
        </w:rPr>
        <w:t>为规范医疗器械上市许可持有人（以下简称持有人）开展上市后产品风险评价，确保医疗器械使用安全，根据《医疗器械不良事件监测与再评价管理办法》，制定本指导原则。</w:t>
      </w:r>
    </w:p>
    <w:p w:rsidR="00702547" w:rsidRDefault="009843B4">
      <w:pPr>
        <w:numPr>
          <w:ilvl w:val="0"/>
          <w:numId w:val="1"/>
        </w:numPr>
        <w:overflowPunct w:val="0"/>
        <w:adjustRightInd w:val="0"/>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工作程序及内容</w:t>
      </w:r>
    </w:p>
    <w:p w:rsidR="00702547" w:rsidRDefault="009843B4">
      <w:pPr>
        <w:overflowPunct w:val="0"/>
        <w:adjustRightInd w:val="0"/>
        <w:snapToGrid w:val="0"/>
        <w:spacing w:line="560" w:lineRule="exact"/>
        <w:ind w:firstLineChars="200" w:firstLine="640"/>
        <w:outlineLvl w:val="0"/>
        <w:rPr>
          <w:rFonts w:ascii="黑体" w:eastAsia="黑体" w:hAnsi="黑体" w:cs="黑体"/>
          <w:b/>
          <w:sz w:val="32"/>
          <w:szCs w:val="32"/>
        </w:rPr>
      </w:pPr>
      <w:r>
        <w:rPr>
          <w:rFonts w:eastAsia="仿宋_GB2312" w:hint="eastAsia"/>
          <w:sz w:val="32"/>
          <w:szCs w:val="32"/>
        </w:rPr>
        <w:t>持有人应对导致或可能导致死亡及严重伤害的</w:t>
      </w:r>
      <w:proofErr w:type="gramStart"/>
      <w:r>
        <w:rPr>
          <w:rFonts w:eastAsia="仿宋_GB2312" w:hint="eastAsia"/>
          <w:sz w:val="32"/>
          <w:szCs w:val="32"/>
        </w:rPr>
        <w:t>个例医疗</w:t>
      </w:r>
      <w:proofErr w:type="gramEnd"/>
      <w:r>
        <w:rPr>
          <w:rFonts w:eastAsia="仿宋_GB2312" w:hint="eastAsia"/>
          <w:sz w:val="32"/>
          <w:szCs w:val="32"/>
        </w:rPr>
        <w:t>器械不良事件（以下简称不良事件）进行原因分析和关联性评价，</w:t>
      </w:r>
      <w:proofErr w:type="gramStart"/>
      <w:r>
        <w:rPr>
          <w:rFonts w:eastAsia="仿宋_GB2312" w:hint="eastAsia"/>
          <w:sz w:val="32"/>
          <w:szCs w:val="32"/>
        </w:rPr>
        <w:t>若医疗</w:t>
      </w:r>
      <w:proofErr w:type="gramEnd"/>
      <w:r>
        <w:rPr>
          <w:rFonts w:eastAsia="仿宋_GB2312" w:hint="eastAsia"/>
          <w:sz w:val="32"/>
          <w:szCs w:val="32"/>
        </w:rPr>
        <w:t>器械存在风险的，持有人应开展产品风险评价。国家医疗器械不良事件监测信息系统预警，提示产品可能存在风险的，持有人也应开展相关产品的风险评价。主要包括以下内容：</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不良事件核实</w:t>
      </w:r>
    </w:p>
    <w:p w:rsidR="00702547" w:rsidRDefault="009843B4">
      <w:pPr>
        <w:numPr>
          <w:ilvl w:val="255"/>
          <w:numId w:val="0"/>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启动产品风险评价后，应对相关不良事件的以下内容进行核实：</w:t>
      </w:r>
    </w:p>
    <w:p w:rsidR="00702547" w:rsidRDefault="009843B4">
      <w:pPr>
        <w:numPr>
          <w:ilvl w:val="255"/>
          <w:numId w:val="0"/>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、注册证编号、型号规格、批号或编号、生产日期、有效期、预期用途（说明书载明）；</w:t>
      </w:r>
      <w:r>
        <w:rPr>
          <w:rFonts w:eastAsia="仿宋_GB2312" w:hint="eastAsia"/>
          <w:sz w:val="32"/>
          <w:szCs w:val="32"/>
        </w:rPr>
        <w:t>2</w:t>
      </w:r>
      <w:r>
        <w:rPr>
          <w:rFonts w:eastAsia="仿宋_GB2312" w:hint="eastAsia"/>
          <w:sz w:val="32"/>
          <w:szCs w:val="32"/>
        </w:rPr>
        <w:t>、患者信息：年龄、性别、原患疾病、预期治疗疾病、伤害表现及程度；</w:t>
      </w:r>
      <w:r>
        <w:rPr>
          <w:rFonts w:eastAsia="仿宋_GB2312" w:hint="eastAsia"/>
          <w:sz w:val="32"/>
          <w:szCs w:val="32"/>
        </w:rPr>
        <w:t>3</w:t>
      </w:r>
      <w:r>
        <w:rPr>
          <w:rFonts w:eastAsia="仿宋_GB2312" w:hint="eastAsia"/>
          <w:sz w:val="32"/>
          <w:szCs w:val="32"/>
        </w:rPr>
        <w:t>、使用情况：操作人员、使用方法、使用时间</w:t>
      </w:r>
      <w:r>
        <w:rPr>
          <w:rFonts w:eastAsia="仿宋_GB2312" w:hint="eastAsia"/>
          <w:sz w:val="32"/>
          <w:szCs w:val="32"/>
        </w:rPr>
        <w:t>/</w:t>
      </w:r>
      <w:r>
        <w:rPr>
          <w:rFonts w:eastAsia="仿宋_GB2312" w:hint="eastAsia"/>
          <w:sz w:val="32"/>
          <w:szCs w:val="32"/>
        </w:rPr>
        <w:t>年限、操作记录、器械故障表现；</w:t>
      </w:r>
      <w:r>
        <w:rPr>
          <w:rFonts w:eastAsia="仿宋_GB2312" w:hint="eastAsia"/>
          <w:sz w:val="32"/>
          <w:szCs w:val="32"/>
        </w:rPr>
        <w:t>4</w:t>
      </w:r>
      <w:r>
        <w:rPr>
          <w:rFonts w:eastAsia="仿宋_GB2312" w:hint="eastAsia"/>
          <w:sz w:val="32"/>
          <w:szCs w:val="32"/>
        </w:rPr>
        <w:t>、不良事件处置措施及结果。</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不良事件调查</w:t>
      </w:r>
    </w:p>
    <w:p w:rsidR="00702547" w:rsidRDefault="009843B4">
      <w:pPr>
        <w:numPr>
          <w:ilvl w:val="255"/>
          <w:numId w:val="0"/>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开展产品风险评价，需对以下内容进行调查：</w:t>
      </w:r>
    </w:p>
    <w:p w:rsidR="00702547" w:rsidRDefault="009843B4">
      <w:pPr>
        <w:numPr>
          <w:ilvl w:val="0"/>
          <w:numId w:val="3"/>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不良事件表现，包括产品导致或可能导致的人员伤害，伤害人员原患疾病、伤害程度及临床检查结果、采取救治措施后恢复情况等，以及</w:t>
      </w:r>
      <w:r>
        <w:rPr>
          <w:rFonts w:eastAsia="仿宋_GB2312" w:hint="eastAsia"/>
          <w:sz w:val="32"/>
          <w:szCs w:val="32"/>
        </w:rPr>
        <w:t>/</w:t>
      </w:r>
      <w:r>
        <w:rPr>
          <w:rFonts w:eastAsia="仿宋_GB2312" w:hint="eastAsia"/>
          <w:sz w:val="32"/>
          <w:szCs w:val="32"/>
        </w:rPr>
        <w:t>或产品发生的器械故障，既往是否有类似不良事件发生等。</w:t>
      </w:r>
    </w:p>
    <w:p w:rsidR="00702547" w:rsidRDefault="009843B4">
      <w:pPr>
        <w:numPr>
          <w:ilvl w:val="0"/>
          <w:numId w:val="3"/>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产品使用情况，包括产品使用时状态、使用环境、维护保养情况、存贮条件等；操作人员类型，如医生、护士、工程师或其他人员，他们是否进行了使用前的培训；操作详细过程、使用记录等。</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数据分析</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持有人应明确产品主要不良事件表现，对收集到的产品既往同类性质的不良事件数据进行汇总分析，选择合理的检索起止时间，确保数据分析的针对性和准确性。</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产品检验结果</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持有人应回顾相关批</w:t>
      </w:r>
      <w:r>
        <w:rPr>
          <w:rFonts w:eastAsia="仿宋_GB2312" w:hint="eastAsia"/>
          <w:sz w:val="32"/>
          <w:szCs w:val="32"/>
        </w:rPr>
        <w:t>/</w:t>
      </w:r>
      <w:r>
        <w:rPr>
          <w:rFonts w:eastAsia="仿宋_GB2312" w:hint="eastAsia"/>
          <w:sz w:val="32"/>
          <w:szCs w:val="32"/>
        </w:rPr>
        <w:t>台次产品的过程检验和出厂检验报告，必要时对同批次留样产品进行检验，分析该产品是否符合经注册或者备案的产品技术要求。</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其他风险信息</w:t>
      </w:r>
    </w:p>
    <w:p w:rsidR="00702547" w:rsidRDefault="009843B4">
      <w:pPr>
        <w:numPr>
          <w:ilvl w:val="0"/>
          <w:numId w:val="4"/>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生产及流通过程分析。回顾相关批次</w:t>
      </w:r>
      <w:r>
        <w:rPr>
          <w:rFonts w:eastAsia="仿宋_GB2312" w:hint="eastAsia"/>
          <w:sz w:val="32"/>
          <w:szCs w:val="32"/>
        </w:rPr>
        <w:t>/</w:t>
      </w:r>
      <w:r>
        <w:rPr>
          <w:rFonts w:eastAsia="仿宋_GB2312" w:hint="eastAsia"/>
          <w:sz w:val="32"/>
          <w:szCs w:val="32"/>
        </w:rPr>
        <w:t>台次产品的原材料或零配件采购过程控制、生产工艺控制、生产设施</w:t>
      </w:r>
      <w:r>
        <w:rPr>
          <w:rFonts w:eastAsia="仿宋_GB2312" w:hint="eastAsia"/>
          <w:sz w:val="32"/>
          <w:szCs w:val="32"/>
        </w:rPr>
        <w:t>/</w:t>
      </w:r>
      <w:r>
        <w:rPr>
          <w:rFonts w:eastAsia="仿宋_GB2312" w:hint="eastAsia"/>
          <w:sz w:val="32"/>
          <w:szCs w:val="32"/>
        </w:rPr>
        <w:t>设备情况、中间过程</w:t>
      </w:r>
      <w:r>
        <w:rPr>
          <w:rFonts w:eastAsia="仿宋_GB2312" w:hint="eastAsia"/>
          <w:sz w:val="32"/>
          <w:szCs w:val="32"/>
        </w:rPr>
        <w:t>/</w:t>
      </w:r>
      <w:r>
        <w:rPr>
          <w:rFonts w:eastAsia="仿宋_GB2312" w:hint="eastAsia"/>
          <w:sz w:val="32"/>
          <w:szCs w:val="32"/>
        </w:rPr>
        <w:t>出厂检验、以及包装、运输、贮存等环节是否存在问题。</w:t>
      </w:r>
    </w:p>
    <w:p w:rsidR="00702547" w:rsidRDefault="009843B4">
      <w:pPr>
        <w:numPr>
          <w:ilvl w:val="0"/>
          <w:numId w:val="4"/>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投诉分析。对既往投诉中的事件表现汇总分析，明确投诉的主要问题与该不良事件的关联性。</w:t>
      </w:r>
    </w:p>
    <w:p w:rsidR="00702547" w:rsidRDefault="009843B4">
      <w:pPr>
        <w:numPr>
          <w:ilvl w:val="0"/>
          <w:numId w:val="4"/>
        </w:num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文献资料分析。汇总与产品不良事件或风险问题有关的文献及研究资料，分析上述研究结果是否能够解释相关事件中产品风险发生的原因。</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专家讨论</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必要时持有人应根据产品风险情况，结合企业内审或管理评审工作，组织内部或相关行业专家召开会议，分析事件原因，对产品风险进行讨论，并提出风险控制措施。</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r>
        <w:rPr>
          <w:rFonts w:ascii="楷体_GB2312" w:eastAsia="楷体_GB2312" w:hAnsi="楷体" w:cs="Times New Roman" w:hint="eastAsia"/>
          <w:bCs/>
          <w:sz w:val="32"/>
          <w:szCs w:val="32"/>
        </w:rPr>
        <w:t>风险评价</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持有人需根据上述风险资料，明确不良事件中产品故障或伤害等风险发生的原因。应从产品的结构设计、原材料成分、生产工艺、技术标准、检验方法、使用方法、使用环境、存贮运输等方面进行具体分析与评价。</w:t>
      </w:r>
    </w:p>
    <w:p w:rsidR="00702547" w:rsidRDefault="009843B4">
      <w:pPr>
        <w:numPr>
          <w:ilvl w:val="0"/>
          <w:numId w:val="2"/>
        </w:numPr>
        <w:adjustRightInd w:val="0"/>
        <w:snapToGrid w:val="0"/>
        <w:spacing w:line="560" w:lineRule="exact"/>
        <w:ind w:firstLineChars="200" w:firstLine="640"/>
        <w:jc w:val="left"/>
        <w:outlineLvl w:val="1"/>
        <w:rPr>
          <w:rFonts w:ascii="楷体_GB2312" w:eastAsia="楷体_GB2312" w:hAnsi="楷体" w:cs="Times New Roman"/>
          <w:bCs/>
          <w:sz w:val="32"/>
          <w:szCs w:val="32"/>
        </w:rPr>
      </w:pPr>
      <w:bookmarkStart w:id="1" w:name="_Toc19399"/>
      <w:r>
        <w:rPr>
          <w:rFonts w:ascii="楷体_GB2312" w:eastAsia="楷体_GB2312" w:hAnsi="楷体" w:cs="Times New Roman" w:hint="eastAsia"/>
          <w:bCs/>
          <w:sz w:val="32"/>
          <w:szCs w:val="32"/>
        </w:rPr>
        <w:t>提交</w:t>
      </w:r>
      <w:bookmarkEnd w:id="1"/>
      <w:r>
        <w:rPr>
          <w:rFonts w:ascii="楷体_GB2312" w:eastAsia="楷体_GB2312" w:hAnsi="楷体" w:cs="Times New Roman" w:hint="eastAsia"/>
          <w:bCs/>
          <w:sz w:val="32"/>
          <w:szCs w:val="32"/>
        </w:rPr>
        <w:t>报告</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持有人向所在地省级检测机构报告不良事件评价结果时，应明确提交产品风险评价报告的具体时间，在时限内按要求在国家医疗器械不良事件监测信息系统内提交。相关风险资料如产品技术要求、说明书、检验报告、重要文献等应以附件形式一并提交。对于事件情况和评价结果有新的发现或者认知的，应继续补充报告。</w:t>
      </w:r>
    </w:p>
    <w:p w:rsidR="00702547" w:rsidRDefault="009843B4">
      <w:pPr>
        <w:overflowPunct w:val="0"/>
        <w:spacing w:line="560" w:lineRule="exact"/>
        <w:ind w:firstLineChars="200" w:firstLine="640"/>
        <w:rPr>
          <w:rFonts w:eastAsia="仿宋_GB2312"/>
          <w:sz w:val="32"/>
          <w:szCs w:val="32"/>
        </w:rPr>
      </w:pPr>
      <w:r>
        <w:rPr>
          <w:rFonts w:eastAsia="仿宋_GB2312" w:hint="eastAsia"/>
          <w:sz w:val="32"/>
          <w:szCs w:val="32"/>
        </w:rPr>
        <w:t>监测机构</w:t>
      </w:r>
      <w:r>
        <w:rPr>
          <w:rFonts w:eastAsia="仿宋_GB2312"/>
          <w:sz w:val="32"/>
          <w:szCs w:val="32"/>
        </w:rPr>
        <w:t>对持有人的</w:t>
      </w:r>
      <w:r>
        <w:rPr>
          <w:rFonts w:eastAsia="仿宋_GB2312" w:hint="eastAsia"/>
          <w:sz w:val="32"/>
          <w:szCs w:val="32"/>
        </w:rPr>
        <w:t>产品风险评价报告</w:t>
      </w:r>
      <w:r>
        <w:rPr>
          <w:rFonts w:eastAsia="仿宋_GB2312"/>
          <w:sz w:val="32"/>
          <w:szCs w:val="32"/>
        </w:rPr>
        <w:t>存在异议的，</w:t>
      </w:r>
      <w:r>
        <w:rPr>
          <w:rFonts w:eastAsia="仿宋_GB2312" w:hint="eastAsia"/>
          <w:sz w:val="32"/>
          <w:szCs w:val="32"/>
        </w:rPr>
        <w:t>持有人应按</w:t>
      </w:r>
      <w:r>
        <w:rPr>
          <w:rFonts w:eastAsia="仿宋_GB2312"/>
          <w:sz w:val="32"/>
          <w:szCs w:val="32"/>
        </w:rPr>
        <w:t>要求重新开展评价。</w:t>
      </w:r>
    </w:p>
    <w:p w:rsidR="00702547" w:rsidRDefault="009843B4">
      <w:pPr>
        <w:numPr>
          <w:ilvl w:val="0"/>
          <w:numId w:val="1"/>
        </w:numPr>
        <w:overflowPunct w:val="0"/>
        <w:adjustRightInd w:val="0"/>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风险控制措施</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通过风险评价确认产品存在不合理风险的，持有人应针对产品存在的具体问题，实施风险管理措施，包括使用警示、</w:t>
      </w:r>
      <w:r>
        <w:rPr>
          <w:rFonts w:eastAsia="仿宋_GB2312" w:hint="eastAsia"/>
          <w:sz w:val="32"/>
          <w:szCs w:val="32"/>
        </w:rPr>
        <w:lastRenderedPageBreak/>
        <w:t>检查修理、重新标签、修改并完善说明书、提高标准、软件更新、替换、召回等。</w:t>
      </w:r>
    </w:p>
    <w:p w:rsidR="00702547" w:rsidRDefault="009843B4">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药品监督管理部门认为持有人采取的控制措施不足以有效防范风险的，可以采取发布警示信息、暂停生产销售和使用、责令召回、要求其修改说明书和标签、组织开展再评价等措施，并组织对持有人开展监督检查。</w:t>
      </w:r>
    </w:p>
    <w:sectPr w:rsidR="00702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E0" w:rsidRDefault="00C109E0" w:rsidP="00303CEC">
      <w:r>
        <w:separator/>
      </w:r>
    </w:p>
  </w:endnote>
  <w:endnote w:type="continuationSeparator" w:id="0">
    <w:p w:rsidR="00C109E0" w:rsidRDefault="00C109E0" w:rsidP="0030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E0" w:rsidRDefault="00C109E0" w:rsidP="00303CEC">
      <w:r>
        <w:separator/>
      </w:r>
    </w:p>
  </w:footnote>
  <w:footnote w:type="continuationSeparator" w:id="0">
    <w:p w:rsidR="00C109E0" w:rsidRDefault="00C109E0" w:rsidP="00303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FDAD"/>
    <w:multiLevelType w:val="singleLevel"/>
    <w:tmpl w:val="1F2EFDAD"/>
    <w:lvl w:ilvl="0">
      <w:start w:val="1"/>
      <w:numFmt w:val="chineseCounting"/>
      <w:suff w:val="nothing"/>
      <w:lvlText w:val="（%1）"/>
      <w:lvlJc w:val="left"/>
      <w:rPr>
        <w:rFonts w:hint="eastAsia"/>
      </w:rPr>
    </w:lvl>
  </w:abstractNum>
  <w:abstractNum w:abstractNumId="1">
    <w:nsid w:val="29800F45"/>
    <w:multiLevelType w:val="singleLevel"/>
    <w:tmpl w:val="29800F45"/>
    <w:lvl w:ilvl="0">
      <w:start w:val="1"/>
      <w:numFmt w:val="decimal"/>
      <w:lvlText w:val="%1."/>
      <w:lvlJc w:val="left"/>
      <w:pPr>
        <w:tabs>
          <w:tab w:val="left" w:pos="312"/>
        </w:tabs>
      </w:pPr>
    </w:lvl>
  </w:abstractNum>
  <w:abstractNum w:abstractNumId="2">
    <w:nsid w:val="3E139687"/>
    <w:multiLevelType w:val="singleLevel"/>
    <w:tmpl w:val="3E139687"/>
    <w:lvl w:ilvl="0">
      <w:start w:val="1"/>
      <w:numFmt w:val="decimal"/>
      <w:suff w:val="nothing"/>
      <w:lvlText w:val="%1．"/>
      <w:lvlJc w:val="left"/>
      <w:pPr>
        <w:ind w:left="0" w:firstLine="400"/>
      </w:pPr>
      <w:rPr>
        <w:rFonts w:hint="default"/>
      </w:rPr>
    </w:lvl>
  </w:abstractNum>
  <w:abstractNum w:abstractNumId="3">
    <w:nsid w:val="6E833619"/>
    <w:multiLevelType w:val="singleLevel"/>
    <w:tmpl w:val="6E833619"/>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C"/>
    <w:rsid w:val="00046FF8"/>
    <w:rsid w:val="0008098C"/>
    <w:rsid w:val="000F15E7"/>
    <w:rsid w:val="00147381"/>
    <w:rsid w:val="001543C2"/>
    <w:rsid w:val="00233643"/>
    <w:rsid w:val="002A6609"/>
    <w:rsid w:val="00303CEC"/>
    <w:rsid w:val="00461FFF"/>
    <w:rsid w:val="004B4953"/>
    <w:rsid w:val="00577AF9"/>
    <w:rsid w:val="005E284C"/>
    <w:rsid w:val="00615235"/>
    <w:rsid w:val="00620FB9"/>
    <w:rsid w:val="006215B7"/>
    <w:rsid w:val="00687D79"/>
    <w:rsid w:val="006B4AE6"/>
    <w:rsid w:val="00702547"/>
    <w:rsid w:val="0070679E"/>
    <w:rsid w:val="00725BAF"/>
    <w:rsid w:val="0076526E"/>
    <w:rsid w:val="00792634"/>
    <w:rsid w:val="007A0737"/>
    <w:rsid w:val="008B6AF1"/>
    <w:rsid w:val="009459EB"/>
    <w:rsid w:val="009843B4"/>
    <w:rsid w:val="009D2021"/>
    <w:rsid w:val="00AF0DC6"/>
    <w:rsid w:val="00B64FF5"/>
    <w:rsid w:val="00B959CB"/>
    <w:rsid w:val="00C109E0"/>
    <w:rsid w:val="00C2463E"/>
    <w:rsid w:val="00CC4886"/>
    <w:rsid w:val="00D07E5F"/>
    <w:rsid w:val="00D26E7B"/>
    <w:rsid w:val="00DC4F08"/>
    <w:rsid w:val="00DE337F"/>
    <w:rsid w:val="00E567B0"/>
    <w:rsid w:val="00EF132B"/>
    <w:rsid w:val="00F469A4"/>
    <w:rsid w:val="00F714CF"/>
    <w:rsid w:val="00F97ADC"/>
    <w:rsid w:val="00FE5E7D"/>
    <w:rsid w:val="085A4A39"/>
    <w:rsid w:val="118F08E5"/>
    <w:rsid w:val="27333906"/>
    <w:rsid w:val="2A2D0228"/>
    <w:rsid w:val="41873589"/>
    <w:rsid w:val="457B68EF"/>
    <w:rsid w:val="4ED21E71"/>
    <w:rsid w:val="5B863274"/>
    <w:rsid w:val="670B5BAD"/>
    <w:rsid w:val="6F643B4E"/>
    <w:rsid w:val="7B74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annotation text"/>
    <w:basedOn w:val="a"/>
    <w:uiPriority w:val="99"/>
    <w:semiHidden/>
    <w:unhideWhenUsed/>
    <w:qFormat/>
    <w:pPr>
      <w:jc w:val="left"/>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6"/>
    <w:uiPriority w:val="99"/>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文档结构图 Char"/>
    <w:basedOn w:val="a0"/>
    <w:link w:val="a3"/>
    <w:uiPriority w:val="99"/>
    <w:semiHidden/>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annotation text"/>
    <w:basedOn w:val="a"/>
    <w:uiPriority w:val="99"/>
    <w:semiHidden/>
    <w:unhideWhenUsed/>
    <w:qFormat/>
    <w:pPr>
      <w:jc w:val="left"/>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6"/>
    <w:uiPriority w:val="99"/>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文档结构图 Char"/>
    <w:basedOn w:val="a0"/>
    <w:link w:val="a3"/>
    <w:uiPriority w:val="99"/>
    <w:semiHidden/>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A6357-1089-41B9-84B1-A398CA13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227</Words>
  <Characters>1296</Characters>
  <Application>Microsoft Office Word</Application>
  <DocSecurity>0</DocSecurity>
  <Lines>10</Lines>
  <Paragraphs>3</Paragraphs>
  <ScaleCrop>false</ScaleCrop>
  <Company>china</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盛银冬</cp:lastModifiedBy>
  <cp:revision>1</cp:revision>
  <dcterms:created xsi:type="dcterms:W3CDTF">2018-07-31T06:30:00Z</dcterms:created>
  <dcterms:modified xsi:type="dcterms:W3CDTF">2018-11-27T08:59:00Z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