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E8E" w:rsidRPr="00F10E35" w:rsidRDefault="0047159D" w:rsidP="00F10E35">
      <w:pPr>
        <w:pStyle w:val="aa"/>
        <w:adjustRightInd w:val="0"/>
        <w:snapToGrid w:val="0"/>
        <w:spacing w:line="540" w:lineRule="exact"/>
        <w:jc w:val="left"/>
        <w:rPr>
          <w:rFonts w:ascii="黑体" w:eastAsia="黑体" w:hAnsi="黑体" w:cs="黑体"/>
          <w:sz w:val="32"/>
          <w:szCs w:val="44"/>
        </w:rPr>
      </w:pPr>
      <w:r w:rsidRPr="00F10E35">
        <w:rPr>
          <w:rFonts w:ascii="黑体" w:eastAsia="黑体" w:hAnsi="黑体" w:cs="黑体" w:hint="eastAsia"/>
          <w:sz w:val="32"/>
          <w:szCs w:val="44"/>
        </w:rPr>
        <w:t>附件</w:t>
      </w:r>
      <w:r w:rsidRPr="00F10E35">
        <w:rPr>
          <w:rFonts w:ascii="黑体" w:eastAsia="黑体" w:hAnsi="黑体" w:cs="黑体" w:hint="eastAsia"/>
          <w:sz w:val="32"/>
          <w:szCs w:val="44"/>
        </w:rPr>
        <w:t>1</w:t>
      </w:r>
    </w:p>
    <w:p w:rsidR="00272E8E" w:rsidRDefault="00272E8E" w:rsidP="00F10E35">
      <w:pPr>
        <w:pStyle w:val="aa"/>
        <w:adjustRightInd w:val="0"/>
        <w:snapToGrid w:val="0"/>
        <w:spacing w:line="540" w:lineRule="exact"/>
        <w:jc w:val="left"/>
        <w:rPr>
          <w:rFonts w:ascii="Times New Roman" w:eastAsia="方正小标宋简体" w:hAnsi="Times New Roman" w:cs="Times New Roman"/>
          <w:sz w:val="44"/>
          <w:szCs w:val="44"/>
        </w:rPr>
      </w:pPr>
      <w:bookmarkStart w:id="0" w:name="_GoBack"/>
      <w:bookmarkEnd w:id="0"/>
    </w:p>
    <w:p w:rsidR="00272E8E" w:rsidRDefault="0047159D" w:rsidP="00F10E35">
      <w:pPr>
        <w:pStyle w:val="aa"/>
        <w:adjustRightInd w:val="0"/>
        <w:snapToGrid w:val="0"/>
        <w:spacing w:beforeLines="100" w:before="579" w:afterLines="100" w:after="579"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国家药品监督管理局药物警戒研究与评价</w:t>
      </w:r>
      <w:r>
        <w:rPr>
          <w:rFonts w:ascii="Times New Roman" w:eastAsia="方正小标宋简体" w:hAnsi="Times New Roman" w:cs="Times New Roman"/>
          <w:sz w:val="44"/>
          <w:szCs w:val="44"/>
        </w:rPr>
        <w:t>重点实验室开放课题申报指南（</w:t>
      </w:r>
      <w:r>
        <w:rPr>
          <w:rFonts w:ascii="Times New Roman" w:eastAsia="方正小标宋简体" w:hAnsi="Times New Roman" w:cs="Times New Roman"/>
          <w:sz w:val="44"/>
          <w:szCs w:val="44"/>
        </w:rPr>
        <w:t>2023</w:t>
      </w:r>
      <w:r>
        <w:rPr>
          <w:rFonts w:ascii="Times New Roman" w:eastAsia="方正小标宋简体" w:hAnsi="Times New Roman" w:cs="Times New Roman"/>
          <w:sz w:val="44"/>
          <w:szCs w:val="44"/>
        </w:rPr>
        <w:t>年）</w:t>
      </w:r>
    </w:p>
    <w:p w:rsidR="00272E8E" w:rsidRDefault="0047159D">
      <w:pPr>
        <w:adjustRightInd w:val="0"/>
        <w:snapToGrid w:val="0"/>
        <w:spacing w:line="540" w:lineRule="exact"/>
        <w:ind w:firstLineChars="200" w:firstLine="622"/>
        <w:rPr>
          <w:rFonts w:eastAsia="黑体"/>
          <w:sz w:val="32"/>
          <w:szCs w:val="32"/>
        </w:rPr>
      </w:pPr>
      <w:r>
        <w:rPr>
          <w:rFonts w:eastAsia="黑体"/>
          <w:sz w:val="32"/>
          <w:szCs w:val="32"/>
        </w:rPr>
        <w:t>一、指导思想</w:t>
      </w:r>
    </w:p>
    <w:p w:rsidR="00272E8E" w:rsidRDefault="0047159D">
      <w:pPr>
        <w:spacing w:line="540" w:lineRule="exact"/>
        <w:ind w:firstLine="621"/>
        <w:rPr>
          <w:rFonts w:eastAsia="仿宋_GB2312"/>
          <w:sz w:val="32"/>
          <w:szCs w:val="32"/>
        </w:rPr>
      </w:pPr>
      <w:r>
        <w:rPr>
          <w:rFonts w:eastAsia="仿宋_GB2312"/>
          <w:sz w:val="32"/>
          <w:szCs w:val="32"/>
        </w:rPr>
        <w:t>为推动我国药品不良反应监测与评价工作的基础理论研究、应用研究，以及相应的学科建设和人才培养等工作，提升药品不良反应监测与评价工作能力和水平，培养高素质的专业队伍，促进我国药品监测与评价事业的发展，保障人民群众健康，为药品监管和评价工作决策提供有价值的研究成果。</w:t>
      </w:r>
    </w:p>
    <w:p w:rsidR="00272E8E" w:rsidRDefault="0047159D">
      <w:pPr>
        <w:adjustRightInd w:val="0"/>
        <w:snapToGrid w:val="0"/>
        <w:spacing w:line="540" w:lineRule="exact"/>
        <w:ind w:firstLineChars="200" w:firstLine="622"/>
        <w:rPr>
          <w:rFonts w:eastAsia="黑体"/>
          <w:sz w:val="32"/>
          <w:szCs w:val="32"/>
        </w:rPr>
      </w:pPr>
      <w:r>
        <w:rPr>
          <w:rFonts w:eastAsia="黑体"/>
          <w:sz w:val="32"/>
          <w:szCs w:val="32"/>
        </w:rPr>
        <w:t>二、课题周期</w:t>
      </w:r>
    </w:p>
    <w:p w:rsidR="00272E8E" w:rsidRDefault="0047159D">
      <w:pPr>
        <w:adjustRightInd w:val="0"/>
        <w:snapToGrid w:val="0"/>
        <w:spacing w:line="540" w:lineRule="exact"/>
        <w:ind w:firstLineChars="200" w:firstLine="622"/>
        <w:rPr>
          <w:rFonts w:eastAsia="仿宋_GB2312"/>
          <w:sz w:val="32"/>
          <w:szCs w:val="32"/>
        </w:rPr>
      </w:pPr>
      <w:r>
        <w:rPr>
          <w:rFonts w:eastAsia="仿宋_GB2312"/>
          <w:sz w:val="32"/>
          <w:szCs w:val="32"/>
        </w:rPr>
        <w:t>自课题合同签订之日起</w:t>
      </w:r>
      <w:r>
        <w:rPr>
          <w:rFonts w:eastAsia="仿宋_GB2312"/>
          <w:sz w:val="32"/>
          <w:szCs w:val="32"/>
        </w:rPr>
        <w:t>1~2</w:t>
      </w:r>
      <w:r>
        <w:rPr>
          <w:rFonts w:eastAsia="仿宋_GB2312"/>
          <w:sz w:val="32"/>
          <w:szCs w:val="32"/>
        </w:rPr>
        <w:t>年。</w:t>
      </w:r>
    </w:p>
    <w:p w:rsidR="00272E8E" w:rsidRDefault="0047159D">
      <w:pPr>
        <w:adjustRightInd w:val="0"/>
        <w:snapToGrid w:val="0"/>
        <w:spacing w:line="540" w:lineRule="exact"/>
        <w:ind w:firstLineChars="200" w:firstLine="622"/>
        <w:rPr>
          <w:rFonts w:eastAsia="黑体"/>
          <w:sz w:val="32"/>
          <w:szCs w:val="32"/>
        </w:rPr>
      </w:pPr>
      <w:r>
        <w:rPr>
          <w:rFonts w:eastAsia="黑体"/>
          <w:sz w:val="32"/>
          <w:szCs w:val="32"/>
        </w:rPr>
        <w:t>三、申报指南</w:t>
      </w:r>
    </w:p>
    <w:p w:rsidR="00272E8E" w:rsidRPr="00F10E35" w:rsidRDefault="0047159D" w:rsidP="00F10E35">
      <w:pPr>
        <w:adjustRightInd w:val="0"/>
        <w:snapToGrid w:val="0"/>
        <w:spacing w:line="540" w:lineRule="exact"/>
        <w:jc w:val="left"/>
        <w:rPr>
          <w:rFonts w:ascii="楷体_GB2312" w:eastAsia="楷体_GB2312" w:hAnsi="楷体_GB2312" w:cs="楷体_GB2312"/>
          <w:bCs/>
          <w:sz w:val="32"/>
          <w:szCs w:val="32"/>
        </w:rPr>
      </w:pPr>
      <w:r w:rsidRPr="00F10E35">
        <w:rPr>
          <w:rFonts w:ascii="楷体_GB2312" w:eastAsia="楷体_GB2312" w:hAnsi="楷体_GB2312" w:cs="楷体_GB2312"/>
          <w:bCs/>
          <w:sz w:val="32"/>
          <w:szCs w:val="32"/>
        </w:rPr>
        <w:t xml:space="preserve"> </w:t>
      </w:r>
      <w:r w:rsidRPr="00F10E35">
        <w:rPr>
          <w:rFonts w:ascii="楷体_GB2312" w:eastAsia="楷体_GB2312" w:hAnsi="楷体_GB2312" w:cs="楷体_GB2312" w:hint="eastAsia"/>
          <w:bCs/>
          <w:sz w:val="32"/>
          <w:szCs w:val="32"/>
        </w:rPr>
        <w:t xml:space="preserve"> </w:t>
      </w:r>
      <w:r w:rsidRPr="00F10E35">
        <w:rPr>
          <w:rFonts w:ascii="楷体_GB2312" w:eastAsia="楷体_GB2312" w:hAnsi="楷体_GB2312" w:cs="楷体_GB2312" w:hint="eastAsia"/>
          <w:bCs/>
          <w:sz w:val="32"/>
          <w:szCs w:val="32"/>
        </w:rPr>
        <w:t>（一）课题题目：疫苗上市许可持有人上市后安全性主动监测试点研究</w:t>
      </w:r>
    </w:p>
    <w:p w:rsidR="00272E8E" w:rsidRPr="00F10E35" w:rsidRDefault="0047159D" w:rsidP="00F10E35">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1. </w:t>
      </w:r>
      <w:r w:rsidRPr="00F10E35">
        <w:rPr>
          <w:rFonts w:eastAsia="仿宋_GB2312" w:hint="eastAsia"/>
          <w:bCs/>
          <w:sz w:val="32"/>
          <w:szCs w:val="32"/>
        </w:rPr>
        <w:t>立项背景</w:t>
      </w:r>
    </w:p>
    <w:p w:rsidR="00272E8E" w:rsidRDefault="0047159D" w:rsidP="00F10E35">
      <w:pPr>
        <w:adjustRightInd w:val="0"/>
        <w:snapToGrid w:val="0"/>
        <w:spacing w:line="540" w:lineRule="exact"/>
        <w:ind w:firstLineChars="200" w:firstLine="622"/>
        <w:rPr>
          <w:rFonts w:eastAsia="仿宋_GB2312"/>
          <w:sz w:val="32"/>
          <w:szCs w:val="28"/>
        </w:rPr>
      </w:pPr>
      <w:r>
        <w:rPr>
          <w:rFonts w:eastAsia="仿宋_GB2312" w:hint="eastAsia"/>
          <w:sz w:val="32"/>
          <w:szCs w:val="28"/>
        </w:rPr>
        <w:t>疫苗上市后</w:t>
      </w:r>
      <w:r>
        <w:rPr>
          <w:rFonts w:eastAsia="仿宋_GB2312" w:hint="eastAsia"/>
          <w:sz w:val="32"/>
          <w:szCs w:val="32"/>
        </w:rPr>
        <w:t>安全性</w:t>
      </w:r>
      <w:r>
        <w:rPr>
          <w:rFonts w:eastAsia="仿宋_GB2312" w:hint="eastAsia"/>
          <w:sz w:val="32"/>
          <w:szCs w:val="28"/>
        </w:rPr>
        <w:t>主动监测是体现疫苗国家监管能力的重要指标之一。世界卫生组织将疫苗上市后</w:t>
      </w:r>
      <w:r>
        <w:rPr>
          <w:rFonts w:eastAsia="仿宋_GB2312" w:hint="eastAsia"/>
          <w:sz w:val="32"/>
          <w:szCs w:val="32"/>
        </w:rPr>
        <w:t>安全性</w:t>
      </w:r>
      <w:r>
        <w:rPr>
          <w:rFonts w:eastAsia="仿宋_GB2312" w:hint="eastAsia"/>
          <w:sz w:val="32"/>
          <w:szCs w:val="28"/>
        </w:rPr>
        <w:t>主动监测监管作为</w:t>
      </w:r>
      <w:r>
        <w:rPr>
          <w:rFonts w:eastAsia="仿宋_GB2312" w:hint="eastAsia"/>
          <w:sz w:val="32"/>
          <w:szCs w:val="28"/>
        </w:rPr>
        <w:t>NRA</w:t>
      </w:r>
      <w:r>
        <w:rPr>
          <w:rFonts w:eastAsia="仿宋_GB2312" w:hint="eastAsia"/>
          <w:sz w:val="32"/>
          <w:szCs w:val="28"/>
        </w:rPr>
        <w:t>评估</w:t>
      </w:r>
      <w:r>
        <w:rPr>
          <w:rFonts w:eastAsia="仿宋_GB2312" w:hint="eastAsia"/>
          <w:sz w:val="32"/>
          <w:szCs w:val="28"/>
        </w:rPr>
        <w:t>4</w:t>
      </w:r>
      <w:r>
        <w:rPr>
          <w:rFonts w:eastAsia="仿宋_GB2312" w:hint="eastAsia"/>
          <w:sz w:val="32"/>
          <w:szCs w:val="28"/>
        </w:rPr>
        <w:t>级成熟度的主要指标。疫苗上市许可持有人（简称持有人）是疫苗上市后安全责任主体，尤其是世界卫生组织预认证疫苗（</w:t>
      </w:r>
      <w:r>
        <w:rPr>
          <w:rFonts w:eastAsia="仿宋_GB2312" w:hint="eastAsia"/>
          <w:sz w:val="32"/>
          <w:szCs w:val="28"/>
        </w:rPr>
        <w:t>PQ</w:t>
      </w:r>
      <w:r>
        <w:rPr>
          <w:rFonts w:eastAsia="仿宋_GB2312" w:hint="eastAsia"/>
          <w:sz w:val="32"/>
          <w:szCs w:val="28"/>
        </w:rPr>
        <w:t>疫苗）将疫苗出口至国外，需要给世界卫生组织展现持</w:t>
      </w:r>
      <w:r>
        <w:rPr>
          <w:rFonts w:eastAsia="仿宋_GB2312" w:hint="eastAsia"/>
          <w:sz w:val="32"/>
          <w:szCs w:val="28"/>
        </w:rPr>
        <w:lastRenderedPageBreak/>
        <w:t>有人保证产品安全的能力和水平。目前，国内疫苗持有人开展的上市后</w:t>
      </w:r>
      <w:r>
        <w:rPr>
          <w:rFonts w:eastAsia="仿宋_GB2312" w:hint="eastAsia"/>
          <w:sz w:val="32"/>
          <w:szCs w:val="32"/>
        </w:rPr>
        <w:t>安全性</w:t>
      </w:r>
      <w:r>
        <w:rPr>
          <w:rFonts w:eastAsia="仿宋_GB2312" w:hint="eastAsia"/>
          <w:sz w:val="32"/>
          <w:szCs w:val="28"/>
        </w:rPr>
        <w:t>主动监测或安全性研究项目很少。</w:t>
      </w:r>
    </w:p>
    <w:p w:rsidR="00272E8E" w:rsidRPr="00F10E35" w:rsidRDefault="0047159D" w:rsidP="00F10E35">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2. </w:t>
      </w:r>
      <w:r w:rsidRPr="00F10E35">
        <w:rPr>
          <w:rFonts w:eastAsia="仿宋_GB2312" w:hint="eastAsia"/>
          <w:bCs/>
          <w:sz w:val="32"/>
          <w:szCs w:val="32"/>
        </w:rPr>
        <w:t>研究内容</w:t>
      </w:r>
    </w:p>
    <w:p w:rsidR="00272E8E" w:rsidRDefault="0047159D" w:rsidP="00F10E35">
      <w:pPr>
        <w:adjustRightInd w:val="0"/>
        <w:snapToGrid w:val="0"/>
        <w:spacing w:line="540" w:lineRule="exact"/>
        <w:ind w:firstLineChars="200" w:firstLine="622"/>
        <w:rPr>
          <w:rFonts w:ascii="仿宋_GB2312" w:eastAsia="仿宋_GB2312"/>
          <w:sz w:val="32"/>
          <w:szCs w:val="32"/>
        </w:rPr>
      </w:pPr>
      <w:r>
        <w:rPr>
          <w:rFonts w:eastAsia="仿宋_GB2312" w:hint="eastAsia"/>
          <w:sz w:val="32"/>
          <w:szCs w:val="28"/>
        </w:rPr>
        <w:t>持有人</w:t>
      </w:r>
      <w:r>
        <w:rPr>
          <w:rFonts w:ascii="仿宋_GB2312" w:eastAsia="仿宋_GB2312" w:hint="eastAsia"/>
          <w:sz w:val="32"/>
          <w:szCs w:val="32"/>
        </w:rPr>
        <w:t>探索开展疫苗上市后安全性主动监测实证研究。</w:t>
      </w:r>
    </w:p>
    <w:p w:rsidR="00272E8E" w:rsidRDefault="0047159D" w:rsidP="00F10E35">
      <w:pPr>
        <w:adjustRightInd w:val="0"/>
        <w:snapToGrid w:val="0"/>
        <w:spacing w:line="540" w:lineRule="exact"/>
        <w:ind w:firstLineChars="200" w:firstLine="622"/>
        <w:rPr>
          <w:rFonts w:eastAsia="仿宋_GB2312"/>
          <w:sz w:val="32"/>
          <w:szCs w:val="32"/>
        </w:rPr>
      </w:pPr>
      <w:r>
        <w:rPr>
          <w:rFonts w:eastAsia="仿宋_GB2312" w:hint="eastAsia"/>
          <w:sz w:val="32"/>
          <w:szCs w:val="28"/>
        </w:rPr>
        <w:t>基于持有人自己的疫苗产品开展研究。持有人可以自行申报，也可以和监测机构、高等院校、医疗科研机构等联合申报。</w:t>
      </w:r>
    </w:p>
    <w:p w:rsidR="00272E8E" w:rsidRPr="00F10E35" w:rsidRDefault="0047159D" w:rsidP="00F10E35">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3. </w:t>
      </w:r>
      <w:r w:rsidRPr="00F10E35">
        <w:rPr>
          <w:rFonts w:eastAsia="仿宋_GB2312" w:hint="eastAsia"/>
          <w:bCs/>
          <w:sz w:val="32"/>
          <w:szCs w:val="32"/>
        </w:rPr>
        <w:t>考核指标</w:t>
      </w:r>
    </w:p>
    <w:p w:rsidR="00272E8E" w:rsidRDefault="0047159D" w:rsidP="00F10E35">
      <w:pPr>
        <w:adjustRightInd w:val="0"/>
        <w:snapToGrid w:val="0"/>
        <w:spacing w:line="540" w:lineRule="exact"/>
        <w:ind w:firstLineChars="200" w:firstLine="622"/>
        <w:rPr>
          <w:rFonts w:eastAsia="仿宋_GB2312"/>
          <w:sz w:val="32"/>
          <w:szCs w:val="32"/>
        </w:rPr>
      </w:pPr>
      <w:r>
        <w:rPr>
          <w:rFonts w:eastAsia="仿宋_GB2312" w:hint="eastAsia"/>
          <w:sz w:val="32"/>
          <w:szCs w:val="32"/>
        </w:rPr>
        <w:t>研究报告。内容包括</w:t>
      </w:r>
      <w:r>
        <w:rPr>
          <w:rFonts w:ascii="仿宋_GB2312" w:eastAsia="仿宋_GB2312" w:hint="eastAsia"/>
          <w:sz w:val="32"/>
          <w:szCs w:val="32"/>
        </w:rPr>
        <w:t>持有人开展疫苗主动监测模式、成功经验以及组织实施过程中的制度性难点；研究结果可以发表。</w:t>
      </w:r>
    </w:p>
    <w:p w:rsidR="00272E8E" w:rsidRPr="00F10E35" w:rsidRDefault="0047159D" w:rsidP="00F10E35">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4. </w:t>
      </w:r>
      <w:r w:rsidRPr="00F10E35">
        <w:rPr>
          <w:rFonts w:eastAsia="仿宋_GB2312" w:hint="eastAsia"/>
          <w:bCs/>
          <w:sz w:val="32"/>
          <w:szCs w:val="32"/>
        </w:rPr>
        <w:t>研究时间</w:t>
      </w:r>
    </w:p>
    <w:p w:rsidR="00272E8E" w:rsidRDefault="0047159D" w:rsidP="00F10E35">
      <w:pPr>
        <w:adjustRightInd w:val="0"/>
        <w:snapToGrid w:val="0"/>
        <w:spacing w:line="540" w:lineRule="exact"/>
        <w:ind w:firstLineChars="200" w:firstLine="622"/>
        <w:rPr>
          <w:rFonts w:eastAsia="仿宋_GB2312"/>
          <w:sz w:val="32"/>
          <w:szCs w:val="32"/>
        </w:rPr>
      </w:pPr>
      <w:r>
        <w:rPr>
          <w:rFonts w:eastAsia="仿宋_GB2312" w:hint="eastAsia"/>
          <w:sz w:val="32"/>
          <w:szCs w:val="32"/>
        </w:rPr>
        <w:t>自协议签订之日起</w:t>
      </w:r>
      <w:r>
        <w:rPr>
          <w:rFonts w:eastAsia="仿宋_GB2312" w:hint="eastAsia"/>
          <w:sz w:val="32"/>
          <w:szCs w:val="32"/>
        </w:rPr>
        <w:t>2</w:t>
      </w:r>
      <w:r>
        <w:rPr>
          <w:rFonts w:eastAsia="仿宋_GB2312" w:hint="eastAsia"/>
          <w:sz w:val="32"/>
          <w:szCs w:val="32"/>
        </w:rPr>
        <w:t>年。</w:t>
      </w:r>
    </w:p>
    <w:p w:rsidR="00272E8E" w:rsidRPr="00F10E35" w:rsidRDefault="0047159D">
      <w:pPr>
        <w:adjustRightInd w:val="0"/>
        <w:snapToGrid w:val="0"/>
        <w:spacing w:line="540" w:lineRule="exact"/>
        <w:ind w:firstLineChars="200" w:firstLine="622"/>
        <w:jc w:val="left"/>
        <w:rPr>
          <w:rFonts w:eastAsia="仿宋_GB2312"/>
          <w:bCs/>
          <w:sz w:val="32"/>
          <w:szCs w:val="32"/>
        </w:rPr>
      </w:pPr>
      <w:r w:rsidRPr="00F10E35">
        <w:rPr>
          <w:rFonts w:eastAsia="仿宋_GB2312"/>
          <w:bCs/>
          <w:sz w:val="32"/>
          <w:szCs w:val="32"/>
        </w:rPr>
        <w:t xml:space="preserve">5. </w:t>
      </w:r>
      <w:r w:rsidRPr="00F10E35">
        <w:rPr>
          <w:rFonts w:eastAsia="仿宋_GB2312" w:hint="eastAsia"/>
          <w:bCs/>
          <w:sz w:val="32"/>
          <w:szCs w:val="32"/>
        </w:rPr>
        <w:t>研究经费</w:t>
      </w:r>
    </w:p>
    <w:p w:rsidR="00272E8E" w:rsidRDefault="0047159D">
      <w:pPr>
        <w:adjustRightInd w:val="0"/>
        <w:snapToGrid w:val="0"/>
        <w:spacing w:line="540" w:lineRule="exact"/>
        <w:ind w:firstLineChars="200" w:firstLine="622"/>
        <w:jc w:val="left"/>
        <w:rPr>
          <w:rFonts w:eastAsia="仿宋_GB2312"/>
          <w:sz w:val="32"/>
          <w:szCs w:val="32"/>
        </w:rPr>
      </w:pPr>
      <w:r>
        <w:rPr>
          <w:rFonts w:eastAsia="仿宋_GB2312" w:hint="eastAsia"/>
          <w:sz w:val="32"/>
          <w:szCs w:val="32"/>
        </w:rPr>
        <w:t>立项第一年资助经费</w:t>
      </w:r>
      <w:r>
        <w:rPr>
          <w:rFonts w:eastAsia="仿宋_GB2312" w:hint="eastAsia"/>
          <w:sz w:val="32"/>
          <w:szCs w:val="32"/>
        </w:rPr>
        <w:t>20</w:t>
      </w:r>
      <w:r>
        <w:rPr>
          <w:rFonts w:eastAsia="仿宋_GB2312" w:hint="eastAsia"/>
          <w:sz w:val="32"/>
          <w:szCs w:val="32"/>
        </w:rPr>
        <w:t>万，后续视情况可以滚动资助。研究经费不足部分由申报单位自筹。</w:t>
      </w:r>
    </w:p>
    <w:p w:rsidR="00272E8E" w:rsidRDefault="00272E8E" w:rsidP="00F10E35">
      <w:pPr>
        <w:adjustRightInd w:val="0"/>
        <w:snapToGrid w:val="0"/>
        <w:spacing w:line="540" w:lineRule="exact"/>
        <w:ind w:firstLineChars="200" w:firstLine="624"/>
        <w:jc w:val="left"/>
        <w:rPr>
          <w:rFonts w:eastAsia="仿宋_GB2312"/>
          <w:b/>
          <w:sz w:val="32"/>
          <w:szCs w:val="32"/>
        </w:rPr>
      </w:pPr>
    </w:p>
    <w:p w:rsidR="00272E8E" w:rsidRPr="00F10E35" w:rsidRDefault="0047159D" w:rsidP="00F10E35">
      <w:pPr>
        <w:adjustRightInd w:val="0"/>
        <w:snapToGrid w:val="0"/>
        <w:spacing w:line="540" w:lineRule="exact"/>
        <w:ind w:firstLineChars="200" w:firstLine="622"/>
        <w:jc w:val="left"/>
        <w:rPr>
          <w:rFonts w:ascii="楷体_GB2312" w:eastAsia="楷体_GB2312" w:hAnsi="楷体_GB2312" w:cs="楷体_GB2312"/>
          <w:bCs/>
          <w:sz w:val="32"/>
          <w:szCs w:val="32"/>
        </w:rPr>
      </w:pPr>
      <w:r w:rsidRPr="00F10E35">
        <w:rPr>
          <w:rFonts w:ascii="楷体_GB2312" w:eastAsia="楷体_GB2312" w:hAnsi="楷体_GB2312" w:cs="楷体_GB2312" w:hint="eastAsia"/>
          <w:bCs/>
          <w:sz w:val="32"/>
          <w:szCs w:val="32"/>
        </w:rPr>
        <w:t>（二）课题题目：我国疫苗境外严重</w:t>
      </w:r>
      <w:r w:rsidRPr="00F10E35">
        <w:rPr>
          <w:rFonts w:ascii="楷体_GB2312" w:eastAsia="楷体_GB2312" w:hAnsi="楷体_GB2312" w:cs="楷体_GB2312" w:hint="eastAsia"/>
          <w:bCs/>
          <w:sz w:val="32"/>
          <w:szCs w:val="32"/>
        </w:rPr>
        <w:t>AEFI</w:t>
      </w:r>
      <w:r w:rsidRPr="00F10E35">
        <w:rPr>
          <w:rFonts w:ascii="楷体_GB2312" w:eastAsia="楷体_GB2312" w:hAnsi="楷体_GB2312" w:cs="楷体_GB2312" w:hint="eastAsia"/>
          <w:bCs/>
          <w:sz w:val="32"/>
          <w:szCs w:val="32"/>
        </w:rPr>
        <w:t>的管理要求研究</w:t>
      </w:r>
    </w:p>
    <w:p w:rsidR="00272E8E" w:rsidRPr="00F10E35" w:rsidRDefault="0047159D" w:rsidP="00F10E35">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1. </w:t>
      </w:r>
      <w:r w:rsidRPr="00F10E35">
        <w:rPr>
          <w:rFonts w:eastAsia="仿宋_GB2312" w:hint="eastAsia"/>
          <w:bCs/>
          <w:sz w:val="32"/>
          <w:szCs w:val="32"/>
        </w:rPr>
        <w:t>立项背景</w:t>
      </w:r>
    </w:p>
    <w:p w:rsidR="00272E8E" w:rsidRDefault="0047159D" w:rsidP="00F10E35">
      <w:pPr>
        <w:adjustRightInd w:val="0"/>
        <w:snapToGrid w:val="0"/>
        <w:spacing w:line="540" w:lineRule="exact"/>
        <w:ind w:firstLineChars="200" w:firstLine="622"/>
        <w:rPr>
          <w:rFonts w:eastAsia="仿宋_GB2312"/>
          <w:sz w:val="32"/>
          <w:szCs w:val="28"/>
        </w:rPr>
      </w:pPr>
      <w:r>
        <w:rPr>
          <w:rFonts w:eastAsia="仿宋_GB2312" w:hint="eastAsia"/>
          <w:sz w:val="32"/>
          <w:szCs w:val="28"/>
        </w:rPr>
        <w:t>《药品管理法》第八十条要求，药品上市许可持有人应当开展药品上市后不良反应监测，主动收集、跟踪分析疑似药品不良反应信息，对已识别风险的药品及时采取风险控制措施。</w:t>
      </w:r>
      <w:r>
        <w:rPr>
          <w:rFonts w:eastAsia="仿宋_GB2312" w:hint="eastAsia"/>
          <w:sz w:val="32"/>
          <w:szCs w:val="28"/>
        </w:rPr>
        <w:t>81</w:t>
      </w:r>
      <w:r>
        <w:rPr>
          <w:rFonts w:eastAsia="仿宋_GB2312" w:hint="eastAsia"/>
          <w:sz w:val="32"/>
          <w:szCs w:val="28"/>
        </w:rPr>
        <w:t>号令第四节对境外发生的严重药品不良反应有明确的规定。但疫苗是以预防为主的特殊药品，《疫苗管理法》第五十四条明确要求，疫苗上市许可持有人将疑似预防接种异常反应向疾病预防控制机构</w:t>
      </w:r>
      <w:r>
        <w:rPr>
          <w:rFonts w:eastAsia="仿宋_GB2312" w:hint="eastAsia"/>
          <w:sz w:val="32"/>
          <w:szCs w:val="28"/>
        </w:rPr>
        <w:lastRenderedPageBreak/>
        <w:t>报告。目前，我国的疫苗</w:t>
      </w:r>
      <w:r>
        <w:rPr>
          <w:rFonts w:eastAsia="仿宋_GB2312" w:hint="eastAsia"/>
          <w:sz w:val="32"/>
          <w:szCs w:val="28"/>
        </w:rPr>
        <w:t>AEFI</w:t>
      </w:r>
      <w:r>
        <w:rPr>
          <w:rFonts w:eastAsia="仿宋_GB2312" w:hint="eastAsia"/>
          <w:sz w:val="32"/>
          <w:szCs w:val="28"/>
        </w:rPr>
        <w:t>监测信息系统并不接受持有人报告；在既往实践中，对于在境外发生的疑似预防接种异常反应，存在不同的意见，有要求向疾病预防控制机构报告、也有要求向直报系</w:t>
      </w:r>
      <w:r>
        <w:rPr>
          <w:rFonts w:eastAsia="仿宋_GB2312" w:hint="eastAsia"/>
          <w:sz w:val="32"/>
          <w:szCs w:val="28"/>
        </w:rPr>
        <w:t>统报告。</w:t>
      </w:r>
    </w:p>
    <w:p w:rsidR="00272E8E" w:rsidRPr="00F10E35" w:rsidRDefault="0047159D" w:rsidP="00F10E35">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2. </w:t>
      </w:r>
      <w:r w:rsidRPr="00F10E35">
        <w:rPr>
          <w:rFonts w:eastAsia="仿宋_GB2312" w:hint="eastAsia"/>
          <w:bCs/>
          <w:sz w:val="32"/>
          <w:szCs w:val="32"/>
        </w:rPr>
        <w:t>研究内容</w:t>
      </w:r>
    </w:p>
    <w:p w:rsidR="00272E8E" w:rsidRDefault="0047159D" w:rsidP="00F10E35">
      <w:pPr>
        <w:adjustRightInd w:val="0"/>
        <w:snapToGrid w:val="0"/>
        <w:spacing w:line="540" w:lineRule="exact"/>
        <w:ind w:firstLineChars="200" w:firstLine="622"/>
        <w:rPr>
          <w:rFonts w:eastAsia="仿宋_GB2312"/>
          <w:sz w:val="32"/>
          <w:szCs w:val="32"/>
        </w:rPr>
      </w:pPr>
      <w:r>
        <w:rPr>
          <w:rFonts w:eastAsia="仿宋_GB2312" w:hint="eastAsia"/>
          <w:sz w:val="32"/>
          <w:szCs w:val="32"/>
        </w:rPr>
        <w:t>通过文献研究进一步了解国内外对于</w:t>
      </w:r>
      <w:r>
        <w:rPr>
          <w:rFonts w:eastAsia="仿宋_GB2312" w:hint="eastAsia"/>
          <w:sz w:val="32"/>
          <w:szCs w:val="28"/>
        </w:rPr>
        <w:t>在境外发生的疑似预防接种异常反应的报告要求；通过专家咨询与论证，形成国内的报告共识。</w:t>
      </w:r>
    </w:p>
    <w:p w:rsidR="00272E8E" w:rsidRPr="00F10E35" w:rsidRDefault="0047159D" w:rsidP="00F10E35">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3. </w:t>
      </w:r>
      <w:r w:rsidRPr="00F10E35">
        <w:rPr>
          <w:rFonts w:eastAsia="仿宋_GB2312" w:hint="eastAsia"/>
          <w:bCs/>
          <w:sz w:val="32"/>
          <w:szCs w:val="32"/>
        </w:rPr>
        <w:t>考核指标</w:t>
      </w:r>
    </w:p>
    <w:p w:rsidR="00272E8E" w:rsidRDefault="0047159D" w:rsidP="00F10E35">
      <w:pPr>
        <w:adjustRightInd w:val="0"/>
        <w:snapToGrid w:val="0"/>
        <w:spacing w:line="540" w:lineRule="exact"/>
        <w:ind w:firstLineChars="200" w:firstLine="622"/>
        <w:rPr>
          <w:rFonts w:eastAsia="仿宋_GB2312"/>
          <w:sz w:val="32"/>
          <w:szCs w:val="32"/>
        </w:rPr>
      </w:pPr>
      <w:r>
        <w:rPr>
          <w:rFonts w:eastAsia="仿宋_GB2312"/>
          <w:sz w:val="32"/>
          <w:szCs w:val="32"/>
        </w:rPr>
        <w:t>研究报告</w:t>
      </w:r>
      <w:r>
        <w:rPr>
          <w:rFonts w:eastAsia="仿宋_GB2312" w:hint="eastAsia"/>
          <w:sz w:val="32"/>
          <w:szCs w:val="32"/>
        </w:rPr>
        <w:t>及专家共识。</w:t>
      </w:r>
    </w:p>
    <w:p w:rsidR="00272E8E" w:rsidRPr="00F10E35" w:rsidRDefault="0047159D" w:rsidP="00F10E35">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4. </w:t>
      </w:r>
      <w:r w:rsidRPr="00F10E35">
        <w:rPr>
          <w:rFonts w:eastAsia="仿宋_GB2312" w:hint="eastAsia"/>
          <w:bCs/>
          <w:sz w:val="32"/>
          <w:szCs w:val="32"/>
        </w:rPr>
        <w:t>研究时间</w:t>
      </w:r>
    </w:p>
    <w:p w:rsidR="00272E8E" w:rsidRDefault="0047159D" w:rsidP="00F10E35">
      <w:pPr>
        <w:adjustRightInd w:val="0"/>
        <w:snapToGrid w:val="0"/>
        <w:spacing w:line="540" w:lineRule="exact"/>
        <w:ind w:firstLineChars="200" w:firstLine="622"/>
        <w:rPr>
          <w:rFonts w:eastAsia="仿宋_GB2312"/>
          <w:sz w:val="32"/>
          <w:szCs w:val="32"/>
        </w:rPr>
      </w:pPr>
      <w:r>
        <w:rPr>
          <w:rFonts w:eastAsia="仿宋_GB2312" w:hint="eastAsia"/>
          <w:sz w:val="32"/>
          <w:szCs w:val="32"/>
        </w:rPr>
        <w:t>自签订之日起</w:t>
      </w:r>
      <w:r>
        <w:rPr>
          <w:rFonts w:eastAsia="仿宋_GB2312" w:hint="eastAsia"/>
          <w:sz w:val="32"/>
          <w:szCs w:val="32"/>
        </w:rPr>
        <w:t>1.5</w:t>
      </w:r>
      <w:r>
        <w:rPr>
          <w:rFonts w:eastAsia="仿宋_GB2312" w:hint="eastAsia"/>
          <w:sz w:val="32"/>
          <w:szCs w:val="32"/>
        </w:rPr>
        <w:t>年。</w:t>
      </w:r>
    </w:p>
    <w:p w:rsidR="00272E8E" w:rsidRPr="00F10E35" w:rsidRDefault="0047159D" w:rsidP="00F10E35">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5. </w:t>
      </w:r>
      <w:r w:rsidRPr="00F10E35">
        <w:rPr>
          <w:rFonts w:eastAsia="仿宋_GB2312" w:hint="eastAsia"/>
          <w:bCs/>
          <w:sz w:val="32"/>
          <w:szCs w:val="32"/>
        </w:rPr>
        <w:t>研究经费</w:t>
      </w:r>
    </w:p>
    <w:p w:rsidR="00272E8E" w:rsidRDefault="0047159D" w:rsidP="00F10E35">
      <w:pPr>
        <w:adjustRightInd w:val="0"/>
        <w:snapToGrid w:val="0"/>
        <w:spacing w:line="540" w:lineRule="exact"/>
        <w:ind w:firstLineChars="200" w:firstLine="622"/>
        <w:rPr>
          <w:rFonts w:eastAsia="仿宋_GB2312"/>
          <w:sz w:val="32"/>
          <w:szCs w:val="32"/>
        </w:rPr>
      </w:pPr>
      <w:r>
        <w:rPr>
          <w:rFonts w:eastAsia="仿宋_GB2312" w:hint="eastAsia"/>
          <w:sz w:val="32"/>
          <w:szCs w:val="32"/>
        </w:rPr>
        <w:t>资助经费</w:t>
      </w:r>
      <w:r>
        <w:rPr>
          <w:rFonts w:eastAsia="仿宋_GB2312" w:hint="eastAsia"/>
          <w:sz w:val="32"/>
          <w:szCs w:val="32"/>
        </w:rPr>
        <w:t>2-3</w:t>
      </w:r>
      <w:r>
        <w:rPr>
          <w:rFonts w:eastAsia="仿宋_GB2312" w:hint="eastAsia"/>
          <w:sz w:val="32"/>
          <w:szCs w:val="32"/>
        </w:rPr>
        <w:t>万。</w:t>
      </w:r>
    </w:p>
    <w:p w:rsidR="00272E8E" w:rsidRDefault="00272E8E">
      <w:pPr>
        <w:adjustRightInd w:val="0"/>
        <w:snapToGrid w:val="0"/>
        <w:spacing w:line="540" w:lineRule="exact"/>
        <w:ind w:firstLineChars="200" w:firstLine="622"/>
        <w:rPr>
          <w:rFonts w:eastAsia="仿宋_GB2312"/>
          <w:sz w:val="32"/>
          <w:szCs w:val="32"/>
        </w:rPr>
      </w:pPr>
    </w:p>
    <w:p w:rsidR="00272E8E" w:rsidRPr="00F10E35" w:rsidRDefault="0047159D">
      <w:pPr>
        <w:adjustRightInd w:val="0"/>
        <w:snapToGrid w:val="0"/>
        <w:spacing w:line="540" w:lineRule="exact"/>
        <w:ind w:firstLineChars="200" w:firstLine="622"/>
        <w:jc w:val="left"/>
        <w:rPr>
          <w:rFonts w:ascii="楷体_GB2312" w:eastAsia="楷体_GB2312" w:hAnsi="楷体_GB2312" w:cs="楷体_GB2312"/>
          <w:bCs/>
          <w:sz w:val="32"/>
          <w:szCs w:val="32"/>
        </w:rPr>
      </w:pPr>
      <w:r w:rsidRPr="00F10E35">
        <w:rPr>
          <w:rFonts w:ascii="楷体_GB2312" w:eastAsia="楷体_GB2312" w:hAnsi="楷体_GB2312" w:cs="楷体_GB2312" w:hint="eastAsia"/>
          <w:bCs/>
          <w:sz w:val="32"/>
          <w:szCs w:val="32"/>
        </w:rPr>
        <w:t>（三）</w:t>
      </w:r>
      <w:r w:rsidRPr="00F10E35">
        <w:rPr>
          <w:rFonts w:ascii="楷体_GB2312" w:eastAsia="楷体_GB2312" w:hAnsi="楷体_GB2312" w:cs="楷体_GB2312" w:hint="eastAsia"/>
          <w:bCs/>
          <w:sz w:val="32"/>
          <w:szCs w:val="32"/>
        </w:rPr>
        <w:t>课题题目：医疗器械不良事件监测数据多维度利用与分层共享设计研究</w:t>
      </w:r>
    </w:p>
    <w:p w:rsidR="00272E8E" w:rsidRPr="00F10E35" w:rsidRDefault="0047159D">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1. </w:t>
      </w:r>
      <w:r w:rsidRPr="00F10E35">
        <w:rPr>
          <w:rFonts w:eastAsia="仿宋_GB2312" w:hint="eastAsia"/>
          <w:bCs/>
          <w:sz w:val="32"/>
          <w:szCs w:val="32"/>
        </w:rPr>
        <w:t>立项背景</w:t>
      </w:r>
    </w:p>
    <w:p w:rsidR="00272E8E" w:rsidRDefault="0047159D">
      <w:pPr>
        <w:adjustRightInd w:val="0"/>
        <w:snapToGrid w:val="0"/>
        <w:spacing w:line="540" w:lineRule="exact"/>
        <w:ind w:firstLineChars="200" w:firstLine="622"/>
        <w:rPr>
          <w:rFonts w:eastAsia="仿宋_GB2312"/>
          <w:sz w:val="32"/>
          <w:szCs w:val="32"/>
        </w:rPr>
      </w:pPr>
      <w:r>
        <w:rPr>
          <w:rFonts w:eastAsia="仿宋_GB2312" w:hint="eastAsia"/>
          <w:sz w:val="32"/>
          <w:szCs w:val="32"/>
        </w:rPr>
        <w:t>2020</w:t>
      </w:r>
      <w:r>
        <w:rPr>
          <w:rFonts w:eastAsia="仿宋_GB2312" w:hint="eastAsia"/>
          <w:sz w:val="32"/>
          <w:szCs w:val="32"/>
        </w:rPr>
        <w:t>年国家药监局发布《关于进一步加强药品不良反应监测评价体系和能力建设的意见》，提出“提高数据质量，加强数据管理和分析，强化信息共享和利用，支撑产品风险信号的识别管控”；</w:t>
      </w:r>
      <w:r>
        <w:rPr>
          <w:rFonts w:eastAsia="仿宋_GB2312" w:hint="eastAsia"/>
          <w:sz w:val="32"/>
          <w:szCs w:val="32"/>
        </w:rPr>
        <w:t>2021</w:t>
      </w:r>
      <w:r>
        <w:rPr>
          <w:rFonts w:eastAsia="仿宋_GB2312" w:hint="eastAsia"/>
          <w:sz w:val="32"/>
          <w:szCs w:val="32"/>
        </w:rPr>
        <w:t>年国务院办公厅发布《关于全面加强药品监管能力建设的实施意见》，提出“加强药品、医疗器械和化妆品不良反应（事件）</w:t>
      </w:r>
      <w:r>
        <w:rPr>
          <w:rFonts w:eastAsia="仿宋_GB2312" w:hint="eastAsia"/>
          <w:sz w:val="32"/>
          <w:szCs w:val="32"/>
        </w:rPr>
        <w:lastRenderedPageBreak/>
        <w:t>监测体系建设，完善信息系统，加强信息共享”；《十四五”国家药品安全及促进高质量发展规划》提出“开展医疗器械警戒研究，探索医疗器械警戒制度，提升各级不良反应监测评价能力，探索应用大数据、人工智能等技术和方法，实现数据共享与</w:t>
      </w:r>
      <w:r>
        <w:rPr>
          <w:rFonts w:eastAsia="仿宋_GB2312" w:hint="eastAsia"/>
          <w:sz w:val="32"/>
          <w:szCs w:val="32"/>
        </w:rPr>
        <w:t>反馈、风险预警与识别等功能”。为应对新形势、新理念、新格局下提出的新要求，如何开展数据分层共享，提升监测数据利用效率，是目前亟待解决的关键技术。</w:t>
      </w:r>
    </w:p>
    <w:p w:rsidR="00272E8E" w:rsidRDefault="0047159D">
      <w:pPr>
        <w:adjustRightInd w:val="0"/>
        <w:snapToGrid w:val="0"/>
        <w:spacing w:line="540" w:lineRule="exact"/>
        <w:ind w:firstLineChars="200" w:firstLine="622"/>
        <w:rPr>
          <w:rFonts w:eastAsia="仿宋_GB2312"/>
          <w:sz w:val="32"/>
          <w:szCs w:val="32"/>
        </w:rPr>
      </w:pPr>
      <w:r>
        <w:rPr>
          <w:rFonts w:eastAsia="仿宋_GB2312" w:hint="eastAsia"/>
          <w:sz w:val="32"/>
          <w:szCs w:val="32"/>
        </w:rPr>
        <w:t>我国的医疗器械不良事件监测工作自</w:t>
      </w:r>
      <w:r>
        <w:rPr>
          <w:rFonts w:eastAsia="仿宋_GB2312" w:hint="eastAsia"/>
          <w:sz w:val="32"/>
          <w:szCs w:val="32"/>
        </w:rPr>
        <w:t>2002</w:t>
      </w:r>
      <w:r>
        <w:rPr>
          <w:rFonts w:eastAsia="仿宋_GB2312" w:hint="eastAsia"/>
          <w:sz w:val="32"/>
          <w:szCs w:val="32"/>
        </w:rPr>
        <w:t>年试点到国家、省、市三级监测体系建立，逐步实现法制化、规范化、现代化，报告数量不断提升，截至</w:t>
      </w:r>
      <w:r>
        <w:rPr>
          <w:rFonts w:eastAsia="仿宋_GB2312" w:hint="eastAsia"/>
          <w:sz w:val="32"/>
          <w:szCs w:val="32"/>
        </w:rPr>
        <w:t>2022</w:t>
      </w:r>
      <w:r>
        <w:rPr>
          <w:rFonts w:eastAsia="仿宋_GB2312" w:hint="eastAsia"/>
          <w:sz w:val="32"/>
          <w:szCs w:val="32"/>
        </w:rPr>
        <w:t>年底，国家医疗器械监测信息系统已累计收到医疗器械不良事件自发报告</w:t>
      </w:r>
      <w:r>
        <w:rPr>
          <w:rFonts w:eastAsia="仿宋_GB2312" w:hint="eastAsia"/>
          <w:sz w:val="32"/>
          <w:szCs w:val="32"/>
        </w:rPr>
        <w:t>4,732,953</w:t>
      </w:r>
      <w:r>
        <w:rPr>
          <w:rFonts w:eastAsia="仿宋_GB2312" w:hint="eastAsia"/>
          <w:sz w:val="32"/>
          <w:szCs w:val="32"/>
        </w:rPr>
        <w:t>份。</w:t>
      </w:r>
      <w:r>
        <w:rPr>
          <w:rFonts w:eastAsia="仿宋_GB2312" w:hint="eastAsia"/>
          <w:sz w:val="32"/>
          <w:szCs w:val="32"/>
        </w:rPr>
        <w:t>2023</w:t>
      </w:r>
      <w:r>
        <w:rPr>
          <w:rFonts w:eastAsia="仿宋_GB2312" w:hint="eastAsia"/>
          <w:sz w:val="32"/>
          <w:szCs w:val="32"/>
        </w:rPr>
        <w:t>年，国家局正式启动医疗器械警戒试点工作，警戒试点工作更加重视构建主动监测和自发报告系统互为补充的监测新模式；更加强调风险趋势分析新工</w:t>
      </w:r>
      <w:r>
        <w:rPr>
          <w:rFonts w:eastAsia="仿宋_GB2312" w:hint="eastAsia"/>
          <w:sz w:val="32"/>
          <w:szCs w:val="32"/>
        </w:rPr>
        <w:t>具、风险信号分析新方法，通过试点工作，探索建立数据分层共享的管理机制和技术平台，逐步完成从不良事件监测向医疗器械警戒系统的转换是当前迫切需要解决的工作难点。</w:t>
      </w:r>
    </w:p>
    <w:p w:rsidR="00272E8E" w:rsidRDefault="0047159D">
      <w:pPr>
        <w:adjustRightInd w:val="0"/>
        <w:snapToGrid w:val="0"/>
        <w:spacing w:line="540" w:lineRule="exact"/>
        <w:rPr>
          <w:rFonts w:eastAsia="仿宋_GB2312"/>
          <w:sz w:val="32"/>
          <w:szCs w:val="28"/>
        </w:rPr>
      </w:pPr>
      <w:r>
        <w:rPr>
          <w:rFonts w:eastAsia="仿宋_GB2312" w:hint="eastAsia"/>
          <w:color w:val="FF0000"/>
          <w:sz w:val="32"/>
          <w:szCs w:val="28"/>
        </w:rPr>
        <w:t xml:space="preserve">    </w:t>
      </w:r>
      <w:r>
        <w:rPr>
          <w:rFonts w:eastAsia="仿宋_GB2312" w:hint="eastAsia"/>
          <w:sz w:val="32"/>
          <w:szCs w:val="28"/>
        </w:rPr>
        <w:t>为提高监测数据利用效率，建立数据分层共享的管理机制，拟开展监测数据多维度利用与分层共享设计研究。</w:t>
      </w:r>
    </w:p>
    <w:p w:rsidR="00272E8E" w:rsidRPr="00F10E35" w:rsidRDefault="0047159D">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2. </w:t>
      </w:r>
      <w:r w:rsidRPr="00F10E35">
        <w:rPr>
          <w:rFonts w:eastAsia="仿宋_GB2312" w:hint="eastAsia"/>
          <w:bCs/>
          <w:sz w:val="32"/>
          <w:szCs w:val="32"/>
        </w:rPr>
        <w:t>研究内容</w:t>
      </w:r>
    </w:p>
    <w:p w:rsidR="00272E8E" w:rsidRDefault="0047159D">
      <w:pPr>
        <w:adjustRightInd w:val="0"/>
        <w:snapToGrid w:val="0"/>
        <w:spacing w:line="540" w:lineRule="exact"/>
        <w:ind w:firstLineChars="200" w:firstLine="622"/>
        <w:rPr>
          <w:rFonts w:eastAsia="仿宋_GB2312"/>
          <w:sz w:val="32"/>
          <w:szCs w:val="32"/>
        </w:rPr>
      </w:pPr>
      <w:r>
        <w:rPr>
          <w:rFonts w:eastAsia="仿宋_GB2312" w:hint="eastAsia"/>
          <w:sz w:val="32"/>
          <w:szCs w:val="32"/>
        </w:rPr>
        <w:t>研究构建符合数据安全保护规范的多层次、多维度的监测数据利用及共享技术平台。多维度数据包含自发报告数据、主动监测数据（重点监测、登记数据、哨点医院等）；多层数据包括了原始数据、待加工数据、二次生成数据等，通过设定数据安全保护</w:t>
      </w:r>
      <w:r>
        <w:rPr>
          <w:rFonts w:eastAsia="仿宋_GB2312" w:hint="eastAsia"/>
          <w:sz w:val="32"/>
          <w:szCs w:val="32"/>
        </w:rPr>
        <w:lastRenderedPageBreak/>
        <w:t>和数据清洗及治理规范，生成分层数据库，根据不同的目的和数据保密要求，明确规定数据共享对象、数据共享方式等具体内容，在此基础上提出建立共享技术平台的初步设计方案。</w:t>
      </w:r>
    </w:p>
    <w:p w:rsidR="00272E8E" w:rsidRDefault="0047159D">
      <w:pPr>
        <w:adjustRightInd w:val="0"/>
        <w:snapToGrid w:val="0"/>
        <w:spacing w:line="540" w:lineRule="exact"/>
        <w:ind w:firstLineChars="200" w:firstLine="622"/>
        <w:rPr>
          <w:rFonts w:eastAsia="仿宋_GB2312"/>
          <w:sz w:val="32"/>
          <w:szCs w:val="32"/>
        </w:rPr>
      </w:pPr>
      <w:r>
        <w:rPr>
          <w:rFonts w:eastAsia="仿宋_GB2312" w:hint="eastAsia"/>
          <w:sz w:val="32"/>
          <w:szCs w:val="32"/>
        </w:rPr>
        <w:t>结合医疗器械上市后安全性监测的要求，系统梳理产品风险类别，标注为未知风险、已知风险的异常趋势、已知可控风险、可疑风险信号等，并依</w:t>
      </w:r>
      <w:r>
        <w:rPr>
          <w:rFonts w:eastAsia="仿宋_GB2312" w:hint="eastAsia"/>
          <w:sz w:val="32"/>
          <w:szCs w:val="32"/>
        </w:rPr>
        <w:t>据风险的严重程度和对公众健康的影响，按照“低、中、高、极高”区分风险等级。依据风险类别和程度分层设定数据共享规则，提升监测数据利用效率，支撑产品风险信号的识别管控，服务于医疗器械上市后安全监管工作。</w:t>
      </w:r>
    </w:p>
    <w:p w:rsidR="00272E8E" w:rsidRPr="00F10E35" w:rsidRDefault="0047159D">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3. </w:t>
      </w:r>
      <w:r w:rsidRPr="00F10E35">
        <w:rPr>
          <w:rFonts w:eastAsia="仿宋_GB2312" w:hint="eastAsia"/>
          <w:bCs/>
          <w:sz w:val="32"/>
          <w:szCs w:val="32"/>
        </w:rPr>
        <w:t>考核指标</w:t>
      </w:r>
    </w:p>
    <w:p w:rsidR="00272E8E" w:rsidRDefault="0047159D">
      <w:pPr>
        <w:adjustRightInd w:val="0"/>
        <w:snapToGrid w:val="0"/>
        <w:spacing w:line="540" w:lineRule="exact"/>
        <w:ind w:firstLineChars="200" w:firstLine="622"/>
        <w:rPr>
          <w:rFonts w:ascii="仿宋_GB2312" w:eastAsia="仿宋_GB2312"/>
          <w:sz w:val="32"/>
          <w:szCs w:val="32"/>
        </w:rPr>
      </w:pPr>
      <w:r>
        <w:rPr>
          <w:rFonts w:ascii="仿宋_GB2312" w:eastAsia="仿宋_GB2312" w:hint="eastAsia"/>
          <w:sz w:val="32"/>
          <w:szCs w:val="32"/>
        </w:rPr>
        <w:t>①项目完成时，撰写提交《医疗器械不良事件监测数据多维度利用与分层共享设计研究报告》</w:t>
      </w:r>
      <w:r>
        <w:rPr>
          <w:rFonts w:eastAsia="仿宋_GB2312"/>
          <w:sz w:val="32"/>
          <w:szCs w:val="32"/>
        </w:rPr>
        <w:t>；</w:t>
      </w:r>
      <w:r>
        <w:rPr>
          <w:rFonts w:ascii="仿宋_GB2312" w:eastAsia="仿宋_GB2312" w:hint="eastAsia"/>
          <w:sz w:val="32"/>
          <w:szCs w:val="32"/>
        </w:rPr>
        <w:t>②完成医疗器械不良事件监测数据多维度利用与分层共享平台设计方案（初稿）；③</w:t>
      </w:r>
      <w:r>
        <w:rPr>
          <w:rFonts w:eastAsia="仿宋_GB2312"/>
          <w:sz w:val="32"/>
          <w:szCs w:val="32"/>
        </w:rPr>
        <w:t>国家重点实验室论文</w:t>
      </w:r>
      <w:r>
        <w:rPr>
          <w:rFonts w:eastAsia="仿宋_GB2312" w:hint="eastAsia"/>
          <w:sz w:val="32"/>
          <w:szCs w:val="32"/>
        </w:rPr>
        <w:t>1~2</w:t>
      </w:r>
      <w:r>
        <w:rPr>
          <w:rFonts w:eastAsia="仿宋_GB2312"/>
          <w:sz w:val="32"/>
          <w:szCs w:val="32"/>
        </w:rPr>
        <w:t>篇。</w:t>
      </w:r>
    </w:p>
    <w:p w:rsidR="00272E8E" w:rsidRPr="00F10E35" w:rsidRDefault="0047159D">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4. </w:t>
      </w:r>
      <w:r w:rsidRPr="00F10E35">
        <w:rPr>
          <w:rFonts w:eastAsia="仿宋_GB2312" w:hint="eastAsia"/>
          <w:bCs/>
          <w:sz w:val="32"/>
          <w:szCs w:val="32"/>
        </w:rPr>
        <w:t>研究时间</w:t>
      </w:r>
    </w:p>
    <w:p w:rsidR="00272E8E" w:rsidRDefault="0047159D">
      <w:pPr>
        <w:adjustRightInd w:val="0"/>
        <w:snapToGrid w:val="0"/>
        <w:spacing w:line="540" w:lineRule="exact"/>
        <w:ind w:firstLineChars="200" w:firstLine="622"/>
        <w:rPr>
          <w:rFonts w:eastAsia="仿宋_GB2312"/>
          <w:sz w:val="32"/>
          <w:szCs w:val="32"/>
        </w:rPr>
      </w:pPr>
      <w:r>
        <w:rPr>
          <w:rFonts w:eastAsia="仿宋_GB2312" w:hint="eastAsia"/>
          <w:sz w:val="32"/>
          <w:szCs w:val="32"/>
        </w:rPr>
        <w:t>自签订之日起</w:t>
      </w:r>
      <w:r>
        <w:rPr>
          <w:rFonts w:eastAsia="仿宋_GB2312" w:hint="eastAsia"/>
          <w:sz w:val="32"/>
          <w:szCs w:val="32"/>
        </w:rPr>
        <w:t>1.5</w:t>
      </w:r>
      <w:r>
        <w:rPr>
          <w:rFonts w:eastAsia="仿宋_GB2312" w:hint="eastAsia"/>
          <w:sz w:val="32"/>
          <w:szCs w:val="32"/>
        </w:rPr>
        <w:t>年。</w:t>
      </w:r>
    </w:p>
    <w:p w:rsidR="00272E8E" w:rsidRPr="00F10E35" w:rsidRDefault="0047159D">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5. </w:t>
      </w:r>
      <w:r w:rsidRPr="00F10E35">
        <w:rPr>
          <w:rFonts w:eastAsia="仿宋_GB2312" w:hint="eastAsia"/>
          <w:bCs/>
          <w:sz w:val="32"/>
          <w:szCs w:val="32"/>
        </w:rPr>
        <w:t>研究经费</w:t>
      </w:r>
    </w:p>
    <w:p w:rsidR="00272E8E" w:rsidRDefault="0047159D">
      <w:pPr>
        <w:adjustRightInd w:val="0"/>
        <w:snapToGrid w:val="0"/>
        <w:spacing w:line="540" w:lineRule="exact"/>
        <w:ind w:firstLineChars="200" w:firstLine="622"/>
        <w:rPr>
          <w:rFonts w:eastAsia="仿宋_GB2312"/>
          <w:sz w:val="32"/>
          <w:szCs w:val="32"/>
        </w:rPr>
      </w:pPr>
      <w:r>
        <w:rPr>
          <w:rFonts w:eastAsia="仿宋_GB2312" w:hint="eastAsia"/>
          <w:sz w:val="32"/>
          <w:szCs w:val="32"/>
        </w:rPr>
        <w:t>资助经费</w:t>
      </w:r>
      <w:r>
        <w:rPr>
          <w:rFonts w:eastAsia="仿宋_GB2312" w:hint="eastAsia"/>
          <w:sz w:val="32"/>
          <w:szCs w:val="32"/>
        </w:rPr>
        <w:t>10</w:t>
      </w:r>
      <w:r>
        <w:rPr>
          <w:rFonts w:eastAsia="仿宋_GB2312" w:hint="eastAsia"/>
          <w:sz w:val="32"/>
          <w:szCs w:val="32"/>
        </w:rPr>
        <w:t>万。</w:t>
      </w:r>
    </w:p>
    <w:p w:rsidR="00272E8E" w:rsidRPr="00F10E35" w:rsidRDefault="0047159D">
      <w:pPr>
        <w:adjustRightInd w:val="0"/>
        <w:snapToGrid w:val="0"/>
        <w:spacing w:line="540" w:lineRule="exact"/>
        <w:ind w:firstLineChars="200" w:firstLine="622"/>
        <w:rPr>
          <w:rFonts w:ascii="楷体_GB2312" w:eastAsia="楷体_GB2312" w:hAnsi="楷体_GB2312" w:cs="楷体_GB2312"/>
          <w:bCs/>
          <w:sz w:val="32"/>
          <w:szCs w:val="32"/>
        </w:rPr>
      </w:pPr>
      <w:r w:rsidRPr="00F10E35">
        <w:rPr>
          <w:rFonts w:ascii="楷体_GB2312" w:eastAsia="楷体_GB2312" w:hAnsi="楷体_GB2312" w:cs="楷体_GB2312" w:hint="eastAsia"/>
          <w:bCs/>
          <w:sz w:val="32"/>
          <w:szCs w:val="32"/>
        </w:rPr>
        <w:t>（四）</w:t>
      </w:r>
      <w:r w:rsidRPr="00F10E35">
        <w:rPr>
          <w:rFonts w:ascii="楷体_GB2312" w:eastAsia="楷体_GB2312" w:hAnsi="楷体_GB2312" w:cs="楷体_GB2312" w:hint="eastAsia"/>
          <w:bCs/>
          <w:sz w:val="32"/>
          <w:szCs w:val="32"/>
        </w:rPr>
        <w:t>课题题目：</w:t>
      </w:r>
      <w:r w:rsidRPr="00F10E35">
        <w:rPr>
          <w:rFonts w:ascii="楷体_GB2312" w:eastAsia="楷体_GB2312" w:hAnsi="楷体_GB2312" w:cs="楷体_GB2312" w:hint="eastAsia"/>
          <w:bCs/>
          <w:sz w:val="32"/>
          <w:szCs w:val="32"/>
        </w:rPr>
        <w:t>医疗器械注册人开展上市后不良事件主动监测管理制度研究</w:t>
      </w:r>
    </w:p>
    <w:p w:rsidR="00272E8E" w:rsidRPr="00F10E35" w:rsidRDefault="0047159D">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1. </w:t>
      </w:r>
      <w:r w:rsidRPr="00F10E35">
        <w:rPr>
          <w:rFonts w:eastAsia="仿宋_GB2312" w:hint="eastAsia"/>
          <w:bCs/>
          <w:sz w:val="32"/>
          <w:szCs w:val="32"/>
        </w:rPr>
        <w:t>立项背景</w:t>
      </w:r>
    </w:p>
    <w:p w:rsidR="00272E8E" w:rsidRDefault="0047159D">
      <w:pPr>
        <w:adjustRightInd w:val="0"/>
        <w:snapToGrid w:val="0"/>
        <w:spacing w:line="540" w:lineRule="exact"/>
        <w:ind w:firstLineChars="200" w:firstLine="622"/>
        <w:rPr>
          <w:rFonts w:eastAsia="仿宋_GB2312"/>
          <w:sz w:val="32"/>
          <w:szCs w:val="32"/>
        </w:rPr>
      </w:pPr>
      <w:r>
        <w:rPr>
          <w:rFonts w:eastAsia="仿宋_GB2312" w:hint="eastAsia"/>
          <w:sz w:val="32"/>
          <w:szCs w:val="32"/>
        </w:rPr>
        <w:t>2021</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1</w:t>
      </w:r>
      <w:r>
        <w:rPr>
          <w:rFonts w:eastAsia="仿宋_GB2312" w:hint="eastAsia"/>
          <w:sz w:val="32"/>
          <w:szCs w:val="32"/>
        </w:rPr>
        <w:t>日，新修订的《医疗器械监督管理条例》正式施行。新版《条例》指出，医疗器械监督管理遵循风险管理、全</w:t>
      </w:r>
      <w:r>
        <w:rPr>
          <w:rFonts w:eastAsia="仿宋_GB2312" w:hint="eastAsia"/>
          <w:sz w:val="32"/>
          <w:szCs w:val="32"/>
        </w:rPr>
        <w:lastRenderedPageBreak/>
        <w:t>程管控、科学监管、社会共治的原则，对医疗器械按照风险程度实行分类管理。新版《条例》大幅提升监管力度，强化全过程监管，加强对风险的科学监管和全程管控。</w:t>
      </w:r>
    </w:p>
    <w:p w:rsidR="00272E8E" w:rsidRDefault="0047159D">
      <w:pPr>
        <w:adjustRightInd w:val="0"/>
        <w:snapToGrid w:val="0"/>
        <w:spacing w:line="540" w:lineRule="exact"/>
        <w:ind w:firstLineChars="200" w:firstLine="622"/>
        <w:rPr>
          <w:rFonts w:eastAsia="仿宋_GB2312"/>
          <w:sz w:val="32"/>
          <w:szCs w:val="32"/>
        </w:rPr>
      </w:pPr>
      <w:r>
        <w:rPr>
          <w:rFonts w:eastAsia="仿宋_GB2312" w:hint="eastAsia"/>
          <w:sz w:val="32"/>
          <w:szCs w:val="32"/>
        </w:rPr>
        <w:t>医疗器械没有绝对的零风险，由于受审评时科技水平、认知水平、临床试验条件和其他客观因素的制约，上市后医疗器械在使用中都可能存在一定的风险，所以，有必要对上市后的医疗器械开展不良事件</w:t>
      </w:r>
      <w:r>
        <w:rPr>
          <w:rFonts w:eastAsia="仿宋_GB2312" w:hint="eastAsia"/>
          <w:sz w:val="32"/>
          <w:szCs w:val="32"/>
        </w:rPr>
        <w:t>监测和风险管理。依据前期对美国</w:t>
      </w:r>
      <w:r>
        <w:rPr>
          <w:rFonts w:eastAsia="仿宋_GB2312" w:hint="eastAsia"/>
          <w:sz w:val="32"/>
          <w:szCs w:val="32"/>
        </w:rPr>
        <w:t>FDA</w:t>
      </w:r>
      <w:r>
        <w:rPr>
          <w:rFonts w:eastAsia="仿宋_GB2312" w:hint="eastAsia"/>
          <w:sz w:val="32"/>
          <w:szCs w:val="32"/>
        </w:rPr>
        <w:t>、欧盟等国家的医疗器械上市前后法规制度研究的结果，医疗器械上市前审批后，应依据产品的风险，设置不同的上市后主动监测要求和监测年限，要求注册人开展上市后主动监测，收集产品的不良事件等安全性信息并开展风险管理，这种监管理念符合对医疗器械全生命周期管理的要求，可紧密联系上市前后的监管工作，进一步落实注册人作为产品质量安全风险第一责任人的要求，在国外发达国家的监管工作实践中取得较好的成效。</w:t>
      </w:r>
    </w:p>
    <w:p w:rsidR="00272E8E" w:rsidRDefault="0047159D">
      <w:pPr>
        <w:adjustRightInd w:val="0"/>
        <w:snapToGrid w:val="0"/>
        <w:spacing w:line="540" w:lineRule="exact"/>
        <w:ind w:firstLineChars="200" w:firstLine="622"/>
        <w:rPr>
          <w:rFonts w:eastAsia="仿宋_GB2312"/>
          <w:sz w:val="32"/>
          <w:szCs w:val="32"/>
        </w:rPr>
      </w:pPr>
      <w:r>
        <w:rPr>
          <w:rFonts w:eastAsia="仿宋_GB2312" w:hint="eastAsia"/>
          <w:sz w:val="32"/>
          <w:szCs w:val="32"/>
        </w:rPr>
        <w:t>作为国家局医疗器械上市后安全性监管的技术支撑机构，有必要系统梳理国内外医疗器械上市后不良事</w:t>
      </w:r>
      <w:r>
        <w:rPr>
          <w:rFonts w:eastAsia="仿宋_GB2312" w:hint="eastAsia"/>
          <w:sz w:val="32"/>
          <w:szCs w:val="32"/>
        </w:rPr>
        <w:t>件主动监测的法规要求，借鉴发达国家的成功经验，提出医疗器械注册人开展上市后不良事件主动监测的制度建设建议。</w:t>
      </w:r>
    </w:p>
    <w:p w:rsidR="00272E8E" w:rsidRPr="00F10E35" w:rsidRDefault="0047159D">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2. </w:t>
      </w:r>
      <w:r w:rsidRPr="00F10E35">
        <w:rPr>
          <w:rFonts w:eastAsia="仿宋_GB2312" w:hint="eastAsia"/>
          <w:bCs/>
          <w:sz w:val="32"/>
          <w:szCs w:val="32"/>
        </w:rPr>
        <w:t>研究内容</w:t>
      </w:r>
    </w:p>
    <w:p w:rsidR="00272E8E" w:rsidRDefault="0047159D">
      <w:pPr>
        <w:adjustRightInd w:val="0"/>
        <w:snapToGrid w:val="0"/>
        <w:spacing w:line="540" w:lineRule="exact"/>
        <w:ind w:firstLineChars="200" w:firstLine="622"/>
        <w:rPr>
          <w:rFonts w:eastAsia="仿宋_GB2312"/>
          <w:sz w:val="32"/>
          <w:szCs w:val="32"/>
        </w:rPr>
      </w:pPr>
      <w:r>
        <w:rPr>
          <w:rFonts w:eastAsia="仿宋_GB2312" w:hint="eastAsia"/>
          <w:sz w:val="32"/>
          <w:szCs w:val="32"/>
        </w:rPr>
        <w:t>系统梳理国内外医疗器械上市后主动监测的法规要求，全面科学分析我国现有制度，结合我国医疗器械不良事件监测工作实践，提出我国医疗器械注册人开展上市后不良事件主动监测管理制度的建设建议。</w:t>
      </w:r>
    </w:p>
    <w:p w:rsidR="00272E8E" w:rsidRDefault="0047159D">
      <w:pPr>
        <w:adjustRightInd w:val="0"/>
        <w:snapToGrid w:val="0"/>
        <w:spacing w:line="540" w:lineRule="exact"/>
        <w:ind w:firstLineChars="200" w:firstLine="622"/>
        <w:rPr>
          <w:rFonts w:eastAsia="仿宋_GB2312"/>
          <w:sz w:val="32"/>
          <w:szCs w:val="32"/>
        </w:rPr>
      </w:pPr>
      <w:r>
        <w:rPr>
          <w:rFonts w:eastAsia="仿宋_GB2312" w:hint="eastAsia"/>
          <w:sz w:val="32"/>
          <w:szCs w:val="32"/>
        </w:rPr>
        <w:lastRenderedPageBreak/>
        <w:t>本研究应充分借鉴发达国家成功经验，依据我国监管工作实际，提出根据医疗器械产品的分类和产品的风险等级，如何在上市前审批过程中提出针对注册人的上市后主动监测要求和具体监测年限，明确产品上市后注册人需要完成的不</w:t>
      </w:r>
      <w:r>
        <w:rPr>
          <w:rFonts w:eastAsia="仿宋_GB2312" w:hint="eastAsia"/>
          <w:sz w:val="32"/>
          <w:szCs w:val="32"/>
        </w:rPr>
        <w:t>良事件监测等安全性监测工作要求，提出医疗器械注册人开展上市后不良事件主动监测管理制度的建设建议。从而促进上市前后监管工作的密切衔接，进一步提高监管效能，践行全生命周期监管理念。</w:t>
      </w:r>
    </w:p>
    <w:p w:rsidR="00272E8E" w:rsidRPr="00F10E35" w:rsidRDefault="0047159D">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3. </w:t>
      </w:r>
      <w:r w:rsidRPr="00F10E35">
        <w:rPr>
          <w:rFonts w:eastAsia="仿宋_GB2312" w:hint="eastAsia"/>
          <w:bCs/>
          <w:sz w:val="32"/>
          <w:szCs w:val="32"/>
        </w:rPr>
        <w:t>考核指标</w:t>
      </w:r>
    </w:p>
    <w:p w:rsidR="00272E8E" w:rsidRDefault="0047159D">
      <w:pPr>
        <w:adjustRightInd w:val="0"/>
        <w:snapToGrid w:val="0"/>
        <w:spacing w:line="540" w:lineRule="exact"/>
        <w:ind w:firstLineChars="200" w:firstLine="622"/>
        <w:rPr>
          <w:rFonts w:ascii="仿宋_GB2312" w:eastAsia="仿宋_GB2312"/>
          <w:sz w:val="32"/>
          <w:szCs w:val="32"/>
        </w:rPr>
      </w:pPr>
      <w:r>
        <w:rPr>
          <w:rFonts w:ascii="仿宋_GB2312" w:eastAsia="仿宋_GB2312" w:hint="eastAsia"/>
          <w:sz w:val="32"/>
          <w:szCs w:val="32"/>
        </w:rPr>
        <w:t>①撰写《医疗器械注册人开展上市后不良事件主动监测管理制度研究报告》；②提出我国医疗器械注册人开展上市后不良事件主动监测管理制度的建设建议；③</w:t>
      </w:r>
      <w:r>
        <w:rPr>
          <w:rFonts w:eastAsia="仿宋_GB2312"/>
          <w:sz w:val="32"/>
          <w:szCs w:val="32"/>
        </w:rPr>
        <w:t>国家重点实验室论文</w:t>
      </w:r>
      <w:r>
        <w:rPr>
          <w:rFonts w:eastAsia="仿宋_GB2312" w:hint="eastAsia"/>
          <w:sz w:val="32"/>
          <w:szCs w:val="32"/>
        </w:rPr>
        <w:t>1~2</w:t>
      </w:r>
      <w:r>
        <w:rPr>
          <w:rFonts w:eastAsia="仿宋_GB2312"/>
          <w:sz w:val="32"/>
          <w:szCs w:val="32"/>
        </w:rPr>
        <w:t>篇。</w:t>
      </w:r>
    </w:p>
    <w:p w:rsidR="00272E8E" w:rsidRPr="00F10E35" w:rsidRDefault="0047159D">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4. </w:t>
      </w:r>
      <w:r w:rsidRPr="00F10E35">
        <w:rPr>
          <w:rFonts w:eastAsia="仿宋_GB2312" w:hint="eastAsia"/>
          <w:bCs/>
          <w:sz w:val="32"/>
          <w:szCs w:val="32"/>
        </w:rPr>
        <w:t>研究时间</w:t>
      </w:r>
    </w:p>
    <w:p w:rsidR="00272E8E" w:rsidRDefault="0047159D">
      <w:pPr>
        <w:adjustRightInd w:val="0"/>
        <w:snapToGrid w:val="0"/>
        <w:spacing w:line="540" w:lineRule="exact"/>
        <w:ind w:firstLineChars="200" w:firstLine="622"/>
        <w:rPr>
          <w:rFonts w:eastAsia="仿宋_GB2312"/>
          <w:sz w:val="32"/>
          <w:szCs w:val="32"/>
        </w:rPr>
      </w:pPr>
      <w:r>
        <w:rPr>
          <w:rFonts w:eastAsia="仿宋_GB2312" w:hint="eastAsia"/>
          <w:sz w:val="32"/>
          <w:szCs w:val="32"/>
        </w:rPr>
        <w:t>自签订之日起</w:t>
      </w:r>
      <w:r>
        <w:rPr>
          <w:rFonts w:eastAsia="仿宋_GB2312" w:hint="eastAsia"/>
          <w:sz w:val="32"/>
          <w:szCs w:val="32"/>
        </w:rPr>
        <w:t>1.5</w:t>
      </w:r>
      <w:r>
        <w:rPr>
          <w:rFonts w:eastAsia="仿宋_GB2312" w:hint="eastAsia"/>
          <w:sz w:val="32"/>
          <w:szCs w:val="32"/>
        </w:rPr>
        <w:t>年</w:t>
      </w:r>
      <w:r>
        <w:rPr>
          <w:rFonts w:eastAsia="仿宋_GB2312" w:hint="eastAsia"/>
          <w:sz w:val="32"/>
          <w:szCs w:val="32"/>
        </w:rPr>
        <w:t>。</w:t>
      </w:r>
    </w:p>
    <w:p w:rsidR="00272E8E" w:rsidRPr="00F10E35" w:rsidRDefault="0047159D">
      <w:pPr>
        <w:adjustRightInd w:val="0"/>
        <w:snapToGrid w:val="0"/>
        <w:spacing w:line="540" w:lineRule="exact"/>
        <w:ind w:firstLineChars="200" w:firstLine="622"/>
        <w:rPr>
          <w:rFonts w:eastAsia="仿宋_GB2312"/>
          <w:bCs/>
          <w:sz w:val="32"/>
          <w:szCs w:val="32"/>
        </w:rPr>
      </w:pPr>
      <w:r w:rsidRPr="00F10E35">
        <w:rPr>
          <w:rFonts w:eastAsia="仿宋_GB2312"/>
          <w:bCs/>
          <w:sz w:val="32"/>
          <w:szCs w:val="32"/>
        </w:rPr>
        <w:t xml:space="preserve">5. </w:t>
      </w:r>
      <w:r w:rsidRPr="00F10E35">
        <w:rPr>
          <w:rFonts w:eastAsia="仿宋_GB2312" w:hint="eastAsia"/>
          <w:bCs/>
          <w:sz w:val="32"/>
          <w:szCs w:val="32"/>
        </w:rPr>
        <w:t>研究经费</w:t>
      </w:r>
    </w:p>
    <w:p w:rsidR="00272E8E" w:rsidRDefault="0047159D">
      <w:pPr>
        <w:adjustRightInd w:val="0"/>
        <w:snapToGrid w:val="0"/>
        <w:spacing w:line="540" w:lineRule="exact"/>
        <w:ind w:firstLineChars="200" w:firstLine="622"/>
        <w:rPr>
          <w:rFonts w:eastAsia="仿宋_GB2312"/>
          <w:sz w:val="32"/>
          <w:szCs w:val="32"/>
          <w:highlight w:val="yellow"/>
        </w:rPr>
      </w:pPr>
      <w:r>
        <w:rPr>
          <w:rFonts w:eastAsia="仿宋_GB2312" w:hint="eastAsia"/>
          <w:sz w:val="32"/>
          <w:szCs w:val="32"/>
        </w:rPr>
        <w:t>资助经费</w:t>
      </w:r>
      <w:r>
        <w:rPr>
          <w:rFonts w:eastAsia="仿宋_GB2312" w:hint="eastAsia"/>
          <w:sz w:val="32"/>
          <w:szCs w:val="32"/>
        </w:rPr>
        <w:t>8</w:t>
      </w:r>
      <w:r>
        <w:rPr>
          <w:rFonts w:eastAsia="仿宋_GB2312" w:hint="eastAsia"/>
          <w:sz w:val="32"/>
          <w:szCs w:val="32"/>
        </w:rPr>
        <w:t>万。</w:t>
      </w:r>
    </w:p>
    <w:p w:rsidR="00272E8E" w:rsidRDefault="00272E8E">
      <w:pPr>
        <w:spacing w:line="540" w:lineRule="exact"/>
        <w:ind w:firstLine="621"/>
        <w:rPr>
          <w:rFonts w:eastAsia="仿宋_GB2312"/>
          <w:sz w:val="32"/>
          <w:szCs w:val="32"/>
        </w:rPr>
      </w:pPr>
    </w:p>
    <w:sectPr w:rsidR="00272E8E">
      <w:footerReference w:type="even" r:id="rId6"/>
      <w:footerReference w:type="default" r:id="rId7"/>
      <w:pgSz w:w="11906" w:h="16838"/>
      <w:pgMar w:top="2098" w:right="1474" w:bottom="1985" w:left="1588" w:header="851" w:footer="1588" w:gutter="0"/>
      <w:pgNumType w:fmt="numberInDash" w:start="5"/>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59D" w:rsidRDefault="0047159D">
      <w:r>
        <w:separator/>
      </w:r>
    </w:p>
  </w:endnote>
  <w:endnote w:type="continuationSeparator" w:id="0">
    <w:p w:rsidR="0047159D" w:rsidRDefault="0047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E8E" w:rsidRDefault="0047159D">
    <w:pPr>
      <w:pStyle w:val="af0"/>
      <w:framePr w:wrap="around" w:vAnchor="text" w:hAnchor="margin" w:xAlign="outside" w:y="1"/>
      <w:rPr>
        <w:rStyle w:val="af7"/>
      </w:rPr>
    </w:pPr>
    <w:r>
      <w:rPr>
        <w:rStyle w:val="af7"/>
      </w:rPr>
      <w:fldChar w:fldCharType="begin"/>
    </w:r>
    <w:r>
      <w:rPr>
        <w:rStyle w:val="af7"/>
      </w:rPr>
      <w:instrText xml:space="preserve">PAGE  </w:instrText>
    </w:r>
    <w:r>
      <w:rPr>
        <w:rStyle w:val="af7"/>
      </w:rPr>
      <w:fldChar w:fldCharType="end"/>
    </w:r>
  </w:p>
  <w:p w:rsidR="00272E8E" w:rsidRDefault="00272E8E">
    <w:pPr>
      <w:pStyle w:val="af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E8E" w:rsidRDefault="0047159D">
    <w:pPr>
      <w:pStyle w:val="af0"/>
      <w:framePr w:w="1588" w:wrap="notBeside" w:vAnchor="text" w:hAnchor="margin" w:xAlign="outside" w:y="1"/>
      <w:ind w:firstLineChars="100" w:firstLine="280"/>
      <w:rPr>
        <w:rStyle w:val="af7"/>
        <w:sz w:val="28"/>
      </w:rPr>
    </w:pPr>
    <w:r>
      <w:rPr>
        <w:rStyle w:val="af7"/>
        <w:rFonts w:ascii="仿宋_GB2312"/>
        <w:sz w:val="28"/>
      </w:rPr>
      <w:fldChar w:fldCharType="begin"/>
    </w:r>
    <w:r>
      <w:rPr>
        <w:rStyle w:val="af7"/>
        <w:rFonts w:ascii="仿宋_GB2312"/>
        <w:sz w:val="28"/>
      </w:rPr>
      <w:instrText xml:space="preserve">PAGE  </w:instrText>
    </w:r>
    <w:r>
      <w:rPr>
        <w:rStyle w:val="af7"/>
        <w:rFonts w:ascii="仿宋_GB2312"/>
        <w:sz w:val="28"/>
      </w:rPr>
      <w:fldChar w:fldCharType="separate"/>
    </w:r>
    <w:r w:rsidR="00F10E35">
      <w:rPr>
        <w:rStyle w:val="af7"/>
        <w:rFonts w:ascii="仿宋_GB2312"/>
        <w:noProof/>
        <w:sz w:val="28"/>
      </w:rPr>
      <w:t>- 5 -</w:t>
    </w:r>
    <w:r>
      <w:rPr>
        <w:rStyle w:val="af7"/>
        <w:rFonts w:ascii="仿宋_GB2312"/>
        <w:sz w:val="28"/>
      </w:rPr>
      <w:fldChar w:fldCharType="end"/>
    </w:r>
  </w:p>
  <w:p w:rsidR="00272E8E" w:rsidRDefault="00272E8E">
    <w:pPr>
      <w:pStyle w:val="af0"/>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59D" w:rsidRDefault="0047159D">
      <w:r>
        <w:separator/>
      </w:r>
    </w:p>
  </w:footnote>
  <w:footnote w:type="continuationSeparator" w:id="0">
    <w:p w:rsidR="0047159D" w:rsidRDefault="00471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0"/>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5Y2QwZDRjYTliNWNhOGQ0ZmUxMGRlZThkM2VhNTAifQ=="/>
  </w:docVars>
  <w:rsids>
    <w:rsidRoot w:val="00172A27"/>
    <w:rsid w:val="000029C8"/>
    <w:rsid w:val="00017B6D"/>
    <w:rsid w:val="00033051"/>
    <w:rsid w:val="00033366"/>
    <w:rsid w:val="00034E94"/>
    <w:rsid w:val="00037A3E"/>
    <w:rsid w:val="000504AF"/>
    <w:rsid w:val="00052E5B"/>
    <w:rsid w:val="000541EB"/>
    <w:rsid w:val="00055D21"/>
    <w:rsid w:val="00062213"/>
    <w:rsid w:val="00064553"/>
    <w:rsid w:val="00072CC1"/>
    <w:rsid w:val="000752D7"/>
    <w:rsid w:val="000761E8"/>
    <w:rsid w:val="000822DB"/>
    <w:rsid w:val="00086815"/>
    <w:rsid w:val="00086A28"/>
    <w:rsid w:val="00095628"/>
    <w:rsid w:val="000960A7"/>
    <w:rsid w:val="00096B16"/>
    <w:rsid w:val="000A5ADE"/>
    <w:rsid w:val="000B22F4"/>
    <w:rsid w:val="000B6849"/>
    <w:rsid w:val="000B7B75"/>
    <w:rsid w:val="000C3B1B"/>
    <w:rsid w:val="000C425C"/>
    <w:rsid w:val="000C6E29"/>
    <w:rsid w:val="000D0B0D"/>
    <w:rsid w:val="000F187E"/>
    <w:rsid w:val="000F47D1"/>
    <w:rsid w:val="000F6B40"/>
    <w:rsid w:val="00102AFF"/>
    <w:rsid w:val="0010476B"/>
    <w:rsid w:val="00110DBA"/>
    <w:rsid w:val="00111328"/>
    <w:rsid w:val="00115267"/>
    <w:rsid w:val="00125DA5"/>
    <w:rsid w:val="00142390"/>
    <w:rsid w:val="00157826"/>
    <w:rsid w:val="00170F3F"/>
    <w:rsid w:val="00172A27"/>
    <w:rsid w:val="00173875"/>
    <w:rsid w:val="00185F5D"/>
    <w:rsid w:val="00194655"/>
    <w:rsid w:val="001B2242"/>
    <w:rsid w:val="001C09A8"/>
    <w:rsid w:val="001C1355"/>
    <w:rsid w:val="001C507F"/>
    <w:rsid w:val="001C74E0"/>
    <w:rsid w:val="001C7DC1"/>
    <w:rsid w:val="001D22C0"/>
    <w:rsid w:val="001D6F42"/>
    <w:rsid w:val="001D712B"/>
    <w:rsid w:val="001E1E8A"/>
    <w:rsid w:val="001E3D79"/>
    <w:rsid w:val="001E6864"/>
    <w:rsid w:val="001E6B9A"/>
    <w:rsid w:val="001F327F"/>
    <w:rsid w:val="00201BC5"/>
    <w:rsid w:val="00204934"/>
    <w:rsid w:val="00212A5A"/>
    <w:rsid w:val="0022069E"/>
    <w:rsid w:val="00222CF1"/>
    <w:rsid w:val="00226A89"/>
    <w:rsid w:val="0024105F"/>
    <w:rsid w:val="00242E01"/>
    <w:rsid w:val="00253496"/>
    <w:rsid w:val="0026114A"/>
    <w:rsid w:val="002646AA"/>
    <w:rsid w:val="00272E8E"/>
    <w:rsid w:val="00274546"/>
    <w:rsid w:val="002767A8"/>
    <w:rsid w:val="00276D38"/>
    <w:rsid w:val="0027732B"/>
    <w:rsid w:val="002801FF"/>
    <w:rsid w:val="0029367C"/>
    <w:rsid w:val="00294A70"/>
    <w:rsid w:val="002A3ECC"/>
    <w:rsid w:val="002A65C1"/>
    <w:rsid w:val="002C2FF7"/>
    <w:rsid w:val="002C3F59"/>
    <w:rsid w:val="002D36D5"/>
    <w:rsid w:val="002D675A"/>
    <w:rsid w:val="002E22C8"/>
    <w:rsid w:val="002F0FDA"/>
    <w:rsid w:val="002F5597"/>
    <w:rsid w:val="003042BE"/>
    <w:rsid w:val="00306032"/>
    <w:rsid w:val="00307362"/>
    <w:rsid w:val="003074F1"/>
    <w:rsid w:val="00310BAC"/>
    <w:rsid w:val="00312C9C"/>
    <w:rsid w:val="003308B4"/>
    <w:rsid w:val="00331422"/>
    <w:rsid w:val="003427EB"/>
    <w:rsid w:val="00355218"/>
    <w:rsid w:val="00355BC6"/>
    <w:rsid w:val="00377C47"/>
    <w:rsid w:val="00377C99"/>
    <w:rsid w:val="00390139"/>
    <w:rsid w:val="0039304D"/>
    <w:rsid w:val="00394D76"/>
    <w:rsid w:val="003953B9"/>
    <w:rsid w:val="003A19C4"/>
    <w:rsid w:val="003B0359"/>
    <w:rsid w:val="003D3F13"/>
    <w:rsid w:val="003E1599"/>
    <w:rsid w:val="003E459B"/>
    <w:rsid w:val="00430785"/>
    <w:rsid w:val="00433FA3"/>
    <w:rsid w:val="00445A0A"/>
    <w:rsid w:val="00452F01"/>
    <w:rsid w:val="004559DD"/>
    <w:rsid w:val="004614B7"/>
    <w:rsid w:val="004708F2"/>
    <w:rsid w:val="0047159D"/>
    <w:rsid w:val="00475FCA"/>
    <w:rsid w:val="004924DE"/>
    <w:rsid w:val="004D0189"/>
    <w:rsid w:val="004D2B04"/>
    <w:rsid w:val="004D3127"/>
    <w:rsid w:val="004D3465"/>
    <w:rsid w:val="004D36F9"/>
    <w:rsid w:val="004E53DB"/>
    <w:rsid w:val="00501082"/>
    <w:rsid w:val="0050214F"/>
    <w:rsid w:val="00506119"/>
    <w:rsid w:val="00530C4E"/>
    <w:rsid w:val="00531B3E"/>
    <w:rsid w:val="0053564C"/>
    <w:rsid w:val="00536E42"/>
    <w:rsid w:val="00540A5D"/>
    <w:rsid w:val="00544267"/>
    <w:rsid w:val="00553055"/>
    <w:rsid w:val="00553328"/>
    <w:rsid w:val="00554244"/>
    <w:rsid w:val="00555EE0"/>
    <w:rsid w:val="00561E05"/>
    <w:rsid w:val="00577FAE"/>
    <w:rsid w:val="005A1641"/>
    <w:rsid w:val="005A22CB"/>
    <w:rsid w:val="005A2C1B"/>
    <w:rsid w:val="005B71A2"/>
    <w:rsid w:val="005B740D"/>
    <w:rsid w:val="005D4C11"/>
    <w:rsid w:val="005F0A37"/>
    <w:rsid w:val="005F7C16"/>
    <w:rsid w:val="005F7D74"/>
    <w:rsid w:val="005F7F8B"/>
    <w:rsid w:val="0060102D"/>
    <w:rsid w:val="00602EFE"/>
    <w:rsid w:val="006100E2"/>
    <w:rsid w:val="006175CA"/>
    <w:rsid w:val="00630F99"/>
    <w:rsid w:val="0063119B"/>
    <w:rsid w:val="00631B00"/>
    <w:rsid w:val="00635420"/>
    <w:rsid w:val="00640442"/>
    <w:rsid w:val="00641397"/>
    <w:rsid w:val="00642509"/>
    <w:rsid w:val="00644295"/>
    <w:rsid w:val="00653F23"/>
    <w:rsid w:val="00662B6E"/>
    <w:rsid w:val="00665434"/>
    <w:rsid w:val="00665C38"/>
    <w:rsid w:val="00682222"/>
    <w:rsid w:val="006830CD"/>
    <w:rsid w:val="006A001C"/>
    <w:rsid w:val="006A365E"/>
    <w:rsid w:val="006B0AD2"/>
    <w:rsid w:val="006B17BA"/>
    <w:rsid w:val="006B4720"/>
    <w:rsid w:val="006C2BDE"/>
    <w:rsid w:val="006D5A89"/>
    <w:rsid w:val="006E01FE"/>
    <w:rsid w:val="006E2518"/>
    <w:rsid w:val="006E51AD"/>
    <w:rsid w:val="006F010B"/>
    <w:rsid w:val="006F673B"/>
    <w:rsid w:val="00700B25"/>
    <w:rsid w:val="0072518C"/>
    <w:rsid w:val="0074071A"/>
    <w:rsid w:val="0074469F"/>
    <w:rsid w:val="00752FC0"/>
    <w:rsid w:val="0075572A"/>
    <w:rsid w:val="007669F7"/>
    <w:rsid w:val="007671DB"/>
    <w:rsid w:val="007679D7"/>
    <w:rsid w:val="0077064A"/>
    <w:rsid w:val="0077070B"/>
    <w:rsid w:val="007727C7"/>
    <w:rsid w:val="007739DD"/>
    <w:rsid w:val="0077792F"/>
    <w:rsid w:val="00782CF7"/>
    <w:rsid w:val="007862E2"/>
    <w:rsid w:val="007903D4"/>
    <w:rsid w:val="00794E9F"/>
    <w:rsid w:val="00797AF5"/>
    <w:rsid w:val="007B412F"/>
    <w:rsid w:val="007B6364"/>
    <w:rsid w:val="007B67B1"/>
    <w:rsid w:val="007C2DE4"/>
    <w:rsid w:val="007C4F05"/>
    <w:rsid w:val="007C509B"/>
    <w:rsid w:val="007C60FD"/>
    <w:rsid w:val="007C7D3D"/>
    <w:rsid w:val="007E22E1"/>
    <w:rsid w:val="007E422C"/>
    <w:rsid w:val="007F0DC2"/>
    <w:rsid w:val="007F45DA"/>
    <w:rsid w:val="00804700"/>
    <w:rsid w:val="00806336"/>
    <w:rsid w:val="00813210"/>
    <w:rsid w:val="0082515F"/>
    <w:rsid w:val="00826F13"/>
    <w:rsid w:val="00830349"/>
    <w:rsid w:val="00831116"/>
    <w:rsid w:val="00833CA3"/>
    <w:rsid w:val="00834EF3"/>
    <w:rsid w:val="00843B2C"/>
    <w:rsid w:val="008459D8"/>
    <w:rsid w:val="00847EC0"/>
    <w:rsid w:val="00855834"/>
    <w:rsid w:val="0086122D"/>
    <w:rsid w:val="00863FE1"/>
    <w:rsid w:val="00866877"/>
    <w:rsid w:val="00874E1E"/>
    <w:rsid w:val="0087577D"/>
    <w:rsid w:val="00877DA1"/>
    <w:rsid w:val="0088400C"/>
    <w:rsid w:val="00885A39"/>
    <w:rsid w:val="00885FBA"/>
    <w:rsid w:val="00886594"/>
    <w:rsid w:val="00892142"/>
    <w:rsid w:val="0089512B"/>
    <w:rsid w:val="0089569A"/>
    <w:rsid w:val="008973A0"/>
    <w:rsid w:val="008A6201"/>
    <w:rsid w:val="008A697D"/>
    <w:rsid w:val="008C2F2C"/>
    <w:rsid w:val="008C424E"/>
    <w:rsid w:val="008C75FC"/>
    <w:rsid w:val="008D006C"/>
    <w:rsid w:val="008D29C6"/>
    <w:rsid w:val="008D2E2D"/>
    <w:rsid w:val="008D4206"/>
    <w:rsid w:val="008D6C4D"/>
    <w:rsid w:val="008F5E27"/>
    <w:rsid w:val="0092072C"/>
    <w:rsid w:val="00926FD5"/>
    <w:rsid w:val="0093041C"/>
    <w:rsid w:val="0094204C"/>
    <w:rsid w:val="00947C11"/>
    <w:rsid w:val="009601BF"/>
    <w:rsid w:val="009641AA"/>
    <w:rsid w:val="00984420"/>
    <w:rsid w:val="009867CD"/>
    <w:rsid w:val="009972AC"/>
    <w:rsid w:val="009977B2"/>
    <w:rsid w:val="009A0593"/>
    <w:rsid w:val="009A0EEE"/>
    <w:rsid w:val="009A0F0C"/>
    <w:rsid w:val="009B0183"/>
    <w:rsid w:val="009B5B35"/>
    <w:rsid w:val="009B748A"/>
    <w:rsid w:val="009D71ED"/>
    <w:rsid w:val="009E3F64"/>
    <w:rsid w:val="009E6089"/>
    <w:rsid w:val="009F0FE0"/>
    <w:rsid w:val="009F1AFA"/>
    <w:rsid w:val="009F68F3"/>
    <w:rsid w:val="009F71A6"/>
    <w:rsid w:val="00A243F7"/>
    <w:rsid w:val="00A26C1D"/>
    <w:rsid w:val="00A35330"/>
    <w:rsid w:val="00A61CF7"/>
    <w:rsid w:val="00A64306"/>
    <w:rsid w:val="00A64428"/>
    <w:rsid w:val="00A72B80"/>
    <w:rsid w:val="00A80249"/>
    <w:rsid w:val="00A853FB"/>
    <w:rsid w:val="00A87089"/>
    <w:rsid w:val="00A872AD"/>
    <w:rsid w:val="00A906C3"/>
    <w:rsid w:val="00A93D6F"/>
    <w:rsid w:val="00A961FC"/>
    <w:rsid w:val="00AA1CA6"/>
    <w:rsid w:val="00AC39CB"/>
    <w:rsid w:val="00AD7F70"/>
    <w:rsid w:val="00AE0E69"/>
    <w:rsid w:val="00AE6F70"/>
    <w:rsid w:val="00AE71AD"/>
    <w:rsid w:val="00AF48F8"/>
    <w:rsid w:val="00B06EB2"/>
    <w:rsid w:val="00B12F57"/>
    <w:rsid w:val="00B27163"/>
    <w:rsid w:val="00B3454A"/>
    <w:rsid w:val="00B3569D"/>
    <w:rsid w:val="00B37314"/>
    <w:rsid w:val="00B42218"/>
    <w:rsid w:val="00B608AE"/>
    <w:rsid w:val="00B651F5"/>
    <w:rsid w:val="00B71D9C"/>
    <w:rsid w:val="00B75B6B"/>
    <w:rsid w:val="00B760B9"/>
    <w:rsid w:val="00B81474"/>
    <w:rsid w:val="00B844C2"/>
    <w:rsid w:val="00B91D16"/>
    <w:rsid w:val="00BA0A6C"/>
    <w:rsid w:val="00BB1A3F"/>
    <w:rsid w:val="00BB3E15"/>
    <w:rsid w:val="00BC472E"/>
    <w:rsid w:val="00BC74B1"/>
    <w:rsid w:val="00BC792C"/>
    <w:rsid w:val="00BD4D52"/>
    <w:rsid w:val="00BE56D6"/>
    <w:rsid w:val="00BF333B"/>
    <w:rsid w:val="00BF792B"/>
    <w:rsid w:val="00C121EB"/>
    <w:rsid w:val="00C159E5"/>
    <w:rsid w:val="00C16349"/>
    <w:rsid w:val="00C173C9"/>
    <w:rsid w:val="00C20F3B"/>
    <w:rsid w:val="00C21294"/>
    <w:rsid w:val="00C30B2B"/>
    <w:rsid w:val="00C328AA"/>
    <w:rsid w:val="00C3597E"/>
    <w:rsid w:val="00C40EC1"/>
    <w:rsid w:val="00C41F7B"/>
    <w:rsid w:val="00C43618"/>
    <w:rsid w:val="00C65CE8"/>
    <w:rsid w:val="00C6759A"/>
    <w:rsid w:val="00C75476"/>
    <w:rsid w:val="00C76DA9"/>
    <w:rsid w:val="00C82E50"/>
    <w:rsid w:val="00C86C03"/>
    <w:rsid w:val="00C90989"/>
    <w:rsid w:val="00C91A22"/>
    <w:rsid w:val="00C96CDE"/>
    <w:rsid w:val="00CA4CF6"/>
    <w:rsid w:val="00CB0EB7"/>
    <w:rsid w:val="00CB3B15"/>
    <w:rsid w:val="00CB6284"/>
    <w:rsid w:val="00CB67FA"/>
    <w:rsid w:val="00CC3DB1"/>
    <w:rsid w:val="00CC7C1D"/>
    <w:rsid w:val="00CE4426"/>
    <w:rsid w:val="00CE6390"/>
    <w:rsid w:val="00CF0504"/>
    <w:rsid w:val="00CF2D6E"/>
    <w:rsid w:val="00CF43D4"/>
    <w:rsid w:val="00CF5949"/>
    <w:rsid w:val="00CF6FC9"/>
    <w:rsid w:val="00D0790D"/>
    <w:rsid w:val="00D139D3"/>
    <w:rsid w:val="00D14940"/>
    <w:rsid w:val="00D16C8D"/>
    <w:rsid w:val="00D21093"/>
    <w:rsid w:val="00D22939"/>
    <w:rsid w:val="00D255C8"/>
    <w:rsid w:val="00D359C9"/>
    <w:rsid w:val="00D450E7"/>
    <w:rsid w:val="00D521F3"/>
    <w:rsid w:val="00D52CD3"/>
    <w:rsid w:val="00D5463B"/>
    <w:rsid w:val="00D6171F"/>
    <w:rsid w:val="00D74452"/>
    <w:rsid w:val="00D93E8E"/>
    <w:rsid w:val="00DA0D8C"/>
    <w:rsid w:val="00DA2A38"/>
    <w:rsid w:val="00DA4110"/>
    <w:rsid w:val="00DA7A4B"/>
    <w:rsid w:val="00DB2D9C"/>
    <w:rsid w:val="00DC1225"/>
    <w:rsid w:val="00DC4B62"/>
    <w:rsid w:val="00DC7320"/>
    <w:rsid w:val="00DD23E2"/>
    <w:rsid w:val="00DD4256"/>
    <w:rsid w:val="00DE02AD"/>
    <w:rsid w:val="00DF55CE"/>
    <w:rsid w:val="00E0589B"/>
    <w:rsid w:val="00E117B9"/>
    <w:rsid w:val="00E13389"/>
    <w:rsid w:val="00E17CF1"/>
    <w:rsid w:val="00E22DEC"/>
    <w:rsid w:val="00E26438"/>
    <w:rsid w:val="00E35B5A"/>
    <w:rsid w:val="00E4008A"/>
    <w:rsid w:val="00E447E4"/>
    <w:rsid w:val="00E45EA4"/>
    <w:rsid w:val="00E50767"/>
    <w:rsid w:val="00E63371"/>
    <w:rsid w:val="00E63DC5"/>
    <w:rsid w:val="00E72447"/>
    <w:rsid w:val="00E91B39"/>
    <w:rsid w:val="00E94B6B"/>
    <w:rsid w:val="00E97747"/>
    <w:rsid w:val="00E97F93"/>
    <w:rsid w:val="00EB31E2"/>
    <w:rsid w:val="00EB3AD7"/>
    <w:rsid w:val="00EC1789"/>
    <w:rsid w:val="00ED5151"/>
    <w:rsid w:val="00ED57B3"/>
    <w:rsid w:val="00EE2D8F"/>
    <w:rsid w:val="00EE5011"/>
    <w:rsid w:val="00F02D62"/>
    <w:rsid w:val="00F03804"/>
    <w:rsid w:val="00F065CB"/>
    <w:rsid w:val="00F07CB8"/>
    <w:rsid w:val="00F10E35"/>
    <w:rsid w:val="00F13856"/>
    <w:rsid w:val="00F138CD"/>
    <w:rsid w:val="00F1479B"/>
    <w:rsid w:val="00F14914"/>
    <w:rsid w:val="00F25F43"/>
    <w:rsid w:val="00F3012F"/>
    <w:rsid w:val="00F37A37"/>
    <w:rsid w:val="00F44F67"/>
    <w:rsid w:val="00F53021"/>
    <w:rsid w:val="00F57551"/>
    <w:rsid w:val="00F6291F"/>
    <w:rsid w:val="00F734F4"/>
    <w:rsid w:val="00F87B8C"/>
    <w:rsid w:val="00FA4F3D"/>
    <w:rsid w:val="00FA7CC3"/>
    <w:rsid w:val="00FB0623"/>
    <w:rsid w:val="00FB1F34"/>
    <w:rsid w:val="00FB26B2"/>
    <w:rsid w:val="00FB46C9"/>
    <w:rsid w:val="00FD365D"/>
    <w:rsid w:val="00FD3E1B"/>
    <w:rsid w:val="00FD6B51"/>
    <w:rsid w:val="00FE1E9C"/>
    <w:rsid w:val="018808B8"/>
    <w:rsid w:val="023852A6"/>
    <w:rsid w:val="02D93FFE"/>
    <w:rsid w:val="03ED00C3"/>
    <w:rsid w:val="0459606E"/>
    <w:rsid w:val="07280088"/>
    <w:rsid w:val="0A691AAB"/>
    <w:rsid w:val="0BB23C61"/>
    <w:rsid w:val="0CC07576"/>
    <w:rsid w:val="0E0A39EA"/>
    <w:rsid w:val="0F863D5D"/>
    <w:rsid w:val="0FDA1265"/>
    <w:rsid w:val="1130203D"/>
    <w:rsid w:val="114A62F2"/>
    <w:rsid w:val="150A38AA"/>
    <w:rsid w:val="15D0491F"/>
    <w:rsid w:val="16F85534"/>
    <w:rsid w:val="175947C2"/>
    <w:rsid w:val="17847944"/>
    <w:rsid w:val="18290BCC"/>
    <w:rsid w:val="191D1D6D"/>
    <w:rsid w:val="1AA73845"/>
    <w:rsid w:val="1ABD2772"/>
    <w:rsid w:val="1BC653F8"/>
    <w:rsid w:val="1CB8707D"/>
    <w:rsid w:val="1CEE04F3"/>
    <w:rsid w:val="1D505198"/>
    <w:rsid w:val="1E210C55"/>
    <w:rsid w:val="200C3C65"/>
    <w:rsid w:val="20C8387F"/>
    <w:rsid w:val="21532D2A"/>
    <w:rsid w:val="224609EC"/>
    <w:rsid w:val="22A35DC5"/>
    <w:rsid w:val="237E355B"/>
    <w:rsid w:val="24291904"/>
    <w:rsid w:val="249D5020"/>
    <w:rsid w:val="25A46919"/>
    <w:rsid w:val="26754D69"/>
    <w:rsid w:val="27D16535"/>
    <w:rsid w:val="287A38AC"/>
    <w:rsid w:val="2A1A4A61"/>
    <w:rsid w:val="2C163438"/>
    <w:rsid w:val="2CE66553"/>
    <w:rsid w:val="2DC24BFF"/>
    <w:rsid w:val="2FB30D8E"/>
    <w:rsid w:val="307A6038"/>
    <w:rsid w:val="30FE5B9C"/>
    <w:rsid w:val="32D549CF"/>
    <w:rsid w:val="32D628CC"/>
    <w:rsid w:val="33015C20"/>
    <w:rsid w:val="376F7FCA"/>
    <w:rsid w:val="37825466"/>
    <w:rsid w:val="382B433D"/>
    <w:rsid w:val="385F630F"/>
    <w:rsid w:val="3B02193B"/>
    <w:rsid w:val="3BAE7D91"/>
    <w:rsid w:val="3C6C08D7"/>
    <w:rsid w:val="3CD17863"/>
    <w:rsid w:val="3EC97CE5"/>
    <w:rsid w:val="3F5B3528"/>
    <w:rsid w:val="3F7F4906"/>
    <w:rsid w:val="41CD2440"/>
    <w:rsid w:val="41D5260D"/>
    <w:rsid w:val="41DA2097"/>
    <w:rsid w:val="431536D3"/>
    <w:rsid w:val="43717A92"/>
    <w:rsid w:val="44422A52"/>
    <w:rsid w:val="45315B44"/>
    <w:rsid w:val="45950036"/>
    <w:rsid w:val="46340221"/>
    <w:rsid w:val="489034F7"/>
    <w:rsid w:val="48B048C7"/>
    <w:rsid w:val="4AD249F3"/>
    <w:rsid w:val="4D8278CB"/>
    <w:rsid w:val="5130194A"/>
    <w:rsid w:val="525A413F"/>
    <w:rsid w:val="53543DA5"/>
    <w:rsid w:val="546C7A96"/>
    <w:rsid w:val="57CA7D07"/>
    <w:rsid w:val="58161E3B"/>
    <w:rsid w:val="58D77B08"/>
    <w:rsid w:val="5ACF358F"/>
    <w:rsid w:val="5AE13813"/>
    <w:rsid w:val="5D237F64"/>
    <w:rsid w:val="5DCE55D1"/>
    <w:rsid w:val="60E71FD1"/>
    <w:rsid w:val="62A454E0"/>
    <w:rsid w:val="631409F3"/>
    <w:rsid w:val="63ED2BD0"/>
    <w:rsid w:val="65F1078D"/>
    <w:rsid w:val="66E403C4"/>
    <w:rsid w:val="676A7969"/>
    <w:rsid w:val="67D52DC6"/>
    <w:rsid w:val="69B710E6"/>
    <w:rsid w:val="6A112DC8"/>
    <w:rsid w:val="6CB31A2B"/>
    <w:rsid w:val="6F503EF5"/>
    <w:rsid w:val="70B05A3C"/>
    <w:rsid w:val="71651C6F"/>
    <w:rsid w:val="7180004E"/>
    <w:rsid w:val="72EB4698"/>
    <w:rsid w:val="732D2537"/>
    <w:rsid w:val="7431346F"/>
    <w:rsid w:val="77E273DD"/>
    <w:rsid w:val="78C56B03"/>
    <w:rsid w:val="78E00295"/>
    <w:rsid w:val="790955FB"/>
    <w:rsid w:val="7980012F"/>
    <w:rsid w:val="7A56742D"/>
    <w:rsid w:val="7A73131C"/>
    <w:rsid w:val="7AA53318"/>
    <w:rsid w:val="7E94363B"/>
    <w:rsid w:val="7F035807"/>
    <w:rsid w:val="7F855B4D"/>
    <w:rsid w:val="7FAD42CC"/>
    <w:rsid w:val="7FD429CB"/>
    <w:rsid w:val="7FD42B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1D77A3-CB42-4C90-9DCE-33A9046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qFormat="1"/>
    <w:lsdException w:name="Table Grid" w:locked="1" w:semiHidden="1" w:uiPriority="0" w:unhideWhenUsed="1"/>
    <w:lsdException w:name="Table Theme" w:locked="1"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9"/>
    <w:qFormat/>
    <w:pPr>
      <w:keepNext/>
      <w:keepLines/>
      <w:spacing w:before="120" w:line="360" w:lineRule="exact"/>
      <w:ind w:left="57" w:right="57"/>
      <w:jc w:val="center"/>
      <w:outlineLvl w:val="0"/>
    </w:pPr>
    <w:rPr>
      <w:rFonts w:eastAsia="黑体"/>
      <w:b/>
      <w:color w:val="FF0000"/>
      <w:kern w:val="44"/>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 w:val="24"/>
      <w:szCs w:val="20"/>
    </w:rPr>
  </w:style>
  <w:style w:type="paragraph" w:styleId="a4">
    <w:name w:val="annotation text"/>
    <w:basedOn w:val="a"/>
    <w:link w:val="a5"/>
    <w:uiPriority w:val="99"/>
    <w:semiHidden/>
    <w:qFormat/>
    <w:pPr>
      <w:jc w:val="left"/>
    </w:pPr>
  </w:style>
  <w:style w:type="paragraph" w:styleId="a6">
    <w:name w:val="Body Text"/>
    <w:basedOn w:val="a"/>
    <w:link w:val="a7"/>
    <w:uiPriority w:val="99"/>
    <w:qFormat/>
    <w:pPr>
      <w:spacing w:line="440" w:lineRule="exact"/>
    </w:pPr>
    <w:rPr>
      <w:rFonts w:eastAsia="仿宋_GB2312"/>
      <w:b/>
      <w:sz w:val="28"/>
      <w:szCs w:val="20"/>
    </w:rPr>
  </w:style>
  <w:style w:type="paragraph" w:styleId="a8">
    <w:name w:val="Body Text Indent"/>
    <w:basedOn w:val="a"/>
    <w:link w:val="a9"/>
    <w:uiPriority w:val="99"/>
    <w:qFormat/>
    <w:pPr>
      <w:spacing w:line="480" w:lineRule="exact"/>
      <w:ind w:firstLineChars="200" w:firstLine="560"/>
    </w:pPr>
    <w:rPr>
      <w:rFonts w:ascii="仿宋_GB2312" w:eastAsia="仿宋_GB2312" w:hAnsi="宋体"/>
      <w:sz w:val="28"/>
      <w:szCs w:val="28"/>
    </w:rPr>
  </w:style>
  <w:style w:type="paragraph" w:styleId="aa">
    <w:name w:val="Plain Text"/>
    <w:basedOn w:val="a"/>
    <w:link w:val="ab"/>
    <w:uiPriority w:val="99"/>
    <w:qFormat/>
    <w:rPr>
      <w:rFonts w:ascii="宋体" w:hAnsi="Courier New" w:cs="Courier New"/>
      <w:szCs w:val="21"/>
    </w:rPr>
  </w:style>
  <w:style w:type="paragraph" w:styleId="ac">
    <w:name w:val="Date"/>
    <w:basedOn w:val="a"/>
    <w:next w:val="a"/>
    <w:link w:val="ad"/>
    <w:uiPriority w:val="99"/>
    <w:qFormat/>
    <w:pPr>
      <w:ind w:leftChars="2500" w:left="100"/>
    </w:pPr>
    <w:rPr>
      <w:rFonts w:ascii="仿宋_GB2312" w:eastAsia="仿宋_GB2312"/>
      <w:sz w:val="32"/>
      <w:szCs w:val="20"/>
    </w:rPr>
  </w:style>
  <w:style w:type="paragraph" w:styleId="2">
    <w:name w:val="Body Text Indent 2"/>
    <w:basedOn w:val="a"/>
    <w:link w:val="20"/>
    <w:uiPriority w:val="99"/>
    <w:qFormat/>
    <w:pPr>
      <w:spacing w:after="120" w:line="480" w:lineRule="auto"/>
      <w:ind w:leftChars="200" w:left="420"/>
    </w:pPr>
  </w:style>
  <w:style w:type="paragraph" w:styleId="ae">
    <w:name w:val="Balloon Text"/>
    <w:basedOn w:val="a"/>
    <w:link w:val="af"/>
    <w:uiPriority w:val="99"/>
    <w:semiHidden/>
    <w:qFormat/>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uiPriority w:val="9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uiPriority w:val="99"/>
    <w:qFormat/>
    <w:pPr>
      <w:spacing w:after="120"/>
      <w:ind w:leftChars="200" w:left="420"/>
    </w:pPr>
    <w:rPr>
      <w:sz w:val="16"/>
      <w:szCs w:val="16"/>
    </w:rPr>
  </w:style>
  <w:style w:type="paragraph" w:styleId="af4">
    <w:name w:val="Normal (Web)"/>
    <w:basedOn w:val="a"/>
    <w:qFormat/>
    <w:rPr>
      <w:rFonts w:ascii="Calibri" w:hAnsi="Calibri"/>
      <w:sz w:val="24"/>
    </w:rPr>
  </w:style>
  <w:style w:type="paragraph" w:styleId="af5">
    <w:name w:val="annotation subject"/>
    <w:basedOn w:val="a4"/>
    <w:next w:val="a4"/>
    <w:link w:val="af6"/>
    <w:uiPriority w:val="99"/>
    <w:semiHidden/>
    <w:qFormat/>
    <w:rPr>
      <w:b/>
      <w:bCs/>
    </w:rPr>
  </w:style>
  <w:style w:type="character" w:styleId="af7">
    <w:name w:val="page number"/>
    <w:basedOn w:val="a0"/>
    <w:uiPriority w:val="99"/>
    <w:qFormat/>
    <w:rPr>
      <w:rFonts w:cs="Times New Roman"/>
    </w:rPr>
  </w:style>
  <w:style w:type="character" w:styleId="af8">
    <w:name w:val="annotation reference"/>
    <w:basedOn w:val="a0"/>
    <w:uiPriority w:val="99"/>
    <w:semiHidden/>
    <w:qFormat/>
    <w:rPr>
      <w:rFonts w:cs="Times New Roman"/>
      <w:sz w:val="21"/>
      <w:szCs w:val="21"/>
    </w:rPr>
  </w:style>
  <w:style w:type="character" w:customStyle="1" w:styleId="10">
    <w:name w:val="标题 1 字符"/>
    <w:basedOn w:val="a0"/>
    <w:link w:val="1"/>
    <w:uiPriority w:val="9"/>
    <w:qFormat/>
    <w:rPr>
      <w:b/>
      <w:bCs/>
      <w:kern w:val="44"/>
      <w:sz w:val="44"/>
      <w:szCs w:val="44"/>
    </w:rPr>
  </w:style>
  <w:style w:type="character" w:customStyle="1" w:styleId="a5">
    <w:name w:val="批注文字 字符"/>
    <w:basedOn w:val="a0"/>
    <w:link w:val="a4"/>
    <w:uiPriority w:val="99"/>
    <w:semiHidden/>
    <w:qFormat/>
    <w:rPr>
      <w:szCs w:val="24"/>
    </w:rPr>
  </w:style>
  <w:style w:type="character" w:customStyle="1" w:styleId="af6">
    <w:name w:val="批注主题 字符"/>
    <w:basedOn w:val="a5"/>
    <w:link w:val="af5"/>
    <w:uiPriority w:val="99"/>
    <w:semiHidden/>
    <w:qFormat/>
    <w:rPr>
      <w:b/>
      <w:bCs/>
      <w:szCs w:val="24"/>
    </w:rPr>
  </w:style>
  <w:style w:type="character" w:customStyle="1" w:styleId="a7">
    <w:name w:val="正文文本 字符"/>
    <w:basedOn w:val="a0"/>
    <w:link w:val="a6"/>
    <w:uiPriority w:val="99"/>
    <w:semiHidden/>
    <w:qFormat/>
    <w:rPr>
      <w:szCs w:val="24"/>
    </w:rPr>
  </w:style>
  <w:style w:type="character" w:customStyle="1" w:styleId="a9">
    <w:name w:val="正文文本缩进 字符"/>
    <w:basedOn w:val="a0"/>
    <w:link w:val="a8"/>
    <w:uiPriority w:val="99"/>
    <w:semiHidden/>
    <w:qFormat/>
    <w:rPr>
      <w:szCs w:val="24"/>
    </w:rPr>
  </w:style>
  <w:style w:type="character" w:customStyle="1" w:styleId="ab">
    <w:name w:val="纯文本 字符"/>
    <w:basedOn w:val="a0"/>
    <w:link w:val="aa"/>
    <w:uiPriority w:val="99"/>
    <w:qFormat/>
    <w:locked/>
    <w:rPr>
      <w:rFonts w:ascii="宋体" w:hAnsi="Courier New" w:cs="Courier New"/>
      <w:kern w:val="2"/>
      <w:sz w:val="21"/>
      <w:szCs w:val="21"/>
    </w:rPr>
  </w:style>
  <w:style w:type="character" w:customStyle="1" w:styleId="ad">
    <w:name w:val="日期 字符"/>
    <w:basedOn w:val="a0"/>
    <w:link w:val="ac"/>
    <w:uiPriority w:val="99"/>
    <w:semiHidden/>
    <w:qFormat/>
    <w:rPr>
      <w:szCs w:val="24"/>
    </w:rPr>
  </w:style>
  <w:style w:type="character" w:customStyle="1" w:styleId="20">
    <w:name w:val="正文文本缩进 2 字符"/>
    <w:basedOn w:val="a0"/>
    <w:link w:val="2"/>
    <w:uiPriority w:val="99"/>
    <w:semiHidden/>
    <w:qFormat/>
    <w:rPr>
      <w:szCs w:val="24"/>
    </w:rPr>
  </w:style>
  <w:style w:type="character" w:customStyle="1" w:styleId="af">
    <w:name w:val="批注框文本 字符"/>
    <w:basedOn w:val="a0"/>
    <w:link w:val="ae"/>
    <w:uiPriority w:val="99"/>
    <w:semiHidden/>
    <w:qFormat/>
    <w:rPr>
      <w:sz w:val="0"/>
      <w:szCs w:val="0"/>
    </w:rPr>
  </w:style>
  <w:style w:type="character" w:customStyle="1" w:styleId="af1">
    <w:name w:val="页脚 字符"/>
    <w:basedOn w:val="a0"/>
    <w:link w:val="af0"/>
    <w:uiPriority w:val="99"/>
    <w:semiHidden/>
    <w:qFormat/>
    <w:rPr>
      <w:sz w:val="18"/>
      <w:szCs w:val="18"/>
    </w:rPr>
  </w:style>
  <w:style w:type="character" w:customStyle="1" w:styleId="af3">
    <w:name w:val="页眉 字符"/>
    <w:basedOn w:val="a0"/>
    <w:link w:val="af2"/>
    <w:uiPriority w:val="99"/>
    <w:semiHidden/>
    <w:qFormat/>
    <w:rPr>
      <w:sz w:val="18"/>
      <w:szCs w:val="18"/>
    </w:rPr>
  </w:style>
  <w:style w:type="character" w:customStyle="1" w:styleId="30">
    <w:name w:val="正文文本缩进 3 字符"/>
    <w:basedOn w:val="a0"/>
    <w:link w:val="3"/>
    <w:uiPriority w:val="99"/>
    <w:semiHidden/>
    <w:qFormat/>
    <w:rPr>
      <w:sz w:val="16"/>
      <w:szCs w:val="16"/>
    </w:rPr>
  </w:style>
  <w:style w:type="paragraph" w:customStyle="1" w:styleId="CharCharCharCharCharCharChar">
    <w:name w:val="Char Char Char Char Char Char Char"/>
    <w:basedOn w:val="a"/>
    <w:uiPriority w:val="99"/>
    <w:qFormat/>
    <w:pPr>
      <w:tabs>
        <w:tab w:val="left" w:pos="720"/>
      </w:tabs>
      <w:ind w:left="720" w:hanging="720"/>
    </w:pPr>
    <w:rPr>
      <w:sz w:val="24"/>
    </w:rPr>
  </w:style>
  <w:style w:type="paragraph" w:customStyle="1" w:styleId="Char">
    <w:name w:val="Char"/>
    <w:basedOn w:val="a"/>
    <w:uiPriority w:val="99"/>
    <w:qFormat/>
    <w:rPr>
      <w:szCs w:val="20"/>
    </w:rPr>
  </w:style>
  <w:style w:type="paragraph" w:customStyle="1" w:styleId="ListParagraph1">
    <w:name w:val="List Paragraph1"/>
    <w:basedOn w:val="a"/>
    <w:uiPriority w:val="99"/>
    <w:qFormat/>
    <w:pPr>
      <w:ind w:firstLineChars="200" w:firstLine="420"/>
    </w:pPr>
  </w:style>
  <w:style w:type="paragraph" w:customStyle="1" w:styleId="af9">
    <w:name w:val="果正文"/>
    <w:basedOn w:val="a"/>
    <w:uiPriority w:val="99"/>
    <w:qFormat/>
    <w:pPr>
      <w:tabs>
        <w:tab w:val="left" w:pos="1800"/>
      </w:tabs>
      <w:ind w:firstLineChars="200" w:firstLine="544"/>
    </w:pPr>
    <w:rPr>
      <w:rFonts w:ascii="仿宋_GB2312" w:eastAsia="仿宋_GB2312"/>
      <w:spacing w:val="-4"/>
      <w:sz w:val="28"/>
      <w:szCs w:val="20"/>
    </w:rPr>
  </w:style>
  <w:style w:type="paragraph" w:styleId="a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487</Words>
  <Characters>2781</Characters>
  <Application>Microsoft Office Word</Application>
  <DocSecurity>0</DocSecurity>
  <Lines>23</Lines>
  <Paragraphs>6</Paragraphs>
  <ScaleCrop>false</ScaleCrop>
  <Company>wenyin</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首医大校教字[2003]2号</dc:title>
  <dc:creator>qiuyue</dc:creator>
  <cp:lastModifiedBy>王浩</cp:lastModifiedBy>
  <cp:revision>125</cp:revision>
  <cp:lastPrinted>2020-11-12T06:46:00Z</cp:lastPrinted>
  <dcterms:created xsi:type="dcterms:W3CDTF">2020-11-01T11:33:00Z</dcterms:created>
  <dcterms:modified xsi:type="dcterms:W3CDTF">2023-07-11T02:58:00Z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C5DB2372F5A1479F9FFD3D93BF106A2D_13</vt:lpwstr>
  </property>
</Properties>
</file>