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8C972" w14:textId="708F00AC" w:rsidR="00610C76" w:rsidRPr="00610C76" w:rsidRDefault="00610C76" w:rsidP="007F7F37">
      <w:pPr>
        <w:suppressLineNumbers/>
        <w:spacing w:line="540" w:lineRule="exact"/>
        <w:jc w:val="left"/>
        <w:rPr>
          <w:rFonts w:ascii="黑体" w:eastAsia="黑体" w:hAnsi="黑体" w:cs="宋体"/>
          <w:sz w:val="32"/>
          <w:szCs w:val="32"/>
        </w:rPr>
      </w:pPr>
      <w:r w:rsidRPr="00610C76">
        <w:rPr>
          <w:rFonts w:ascii="黑体" w:eastAsia="黑体" w:hAnsi="黑体" w:cs="宋体" w:hint="eastAsia"/>
          <w:sz w:val="32"/>
          <w:szCs w:val="32"/>
        </w:rPr>
        <w:t>附件1</w:t>
      </w:r>
    </w:p>
    <w:p w14:paraId="2FA954C4" w14:textId="1A6E8A8D" w:rsidR="00610C76" w:rsidRDefault="005B57C0" w:rsidP="007F7F37">
      <w:pPr>
        <w:suppressLineNumbers/>
        <w:spacing w:beforeLines="100" w:before="312" w:afterLines="100" w:after="312" w:line="540" w:lineRule="exact"/>
        <w:jc w:val="center"/>
        <w:rPr>
          <w:rFonts w:ascii="方正小标宋简体" w:eastAsia="方正小标宋简体" w:hAnsi="仿宋" w:cs="宋体"/>
          <w:sz w:val="36"/>
          <w:szCs w:val="30"/>
        </w:rPr>
      </w:pPr>
      <w:r w:rsidRPr="007A06DD">
        <w:rPr>
          <w:rFonts w:ascii="方正小标宋简体" w:eastAsia="方正小标宋简体" w:hAnsi="仿宋" w:cs="宋体" w:hint="eastAsia"/>
          <w:sz w:val="36"/>
          <w:szCs w:val="30"/>
        </w:rPr>
        <w:t>药品上市后安全性评价</w:t>
      </w:r>
      <w:r w:rsidR="007E0940">
        <w:rPr>
          <w:rFonts w:ascii="方正小标宋简体" w:eastAsia="方正小标宋简体" w:hAnsi="仿宋" w:cs="宋体" w:hint="eastAsia"/>
          <w:sz w:val="36"/>
          <w:szCs w:val="30"/>
        </w:rPr>
        <w:t>技术</w:t>
      </w:r>
      <w:r w:rsidRPr="007A06DD">
        <w:rPr>
          <w:rFonts w:ascii="方正小标宋简体" w:eastAsia="方正小标宋简体" w:hAnsi="仿宋" w:cs="宋体" w:hint="eastAsia"/>
          <w:sz w:val="36"/>
          <w:szCs w:val="30"/>
        </w:rPr>
        <w:t>指导原则</w:t>
      </w:r>
    </w:p>
    <w:p w14:paraId="0B4F1E28" w14:textId="21E6D5EB" w:rsidR="003D19D8" w:rsidRDefault="00610C76" w:rsidP="007F7F37">
      <w:pPr>
        <w:suppressLineNumbers/>
        <w:spacing w:beforeLines="100" w:before="312" w:afterLines="100" w:after="312" w:line="540" w:lineRule="exact"/>
        <w:jc w:val="center"/>
        <w:rPr>
          <w:rFonts w:ascii="仿宋" w:eastAsia="仿宋" w:hAnsi="仿宋"/>
          <w:sz w:val="30"/>
          <w:szCs w:val="30"/>
        </w:rPr>
      </w:pPr>
      <w:r>
        <w:rPr>
          <w:rFonts w:ascii="方正小标宋简体" w:eastAsia="方正小标宋简体" w:hAnsi="仿宋" w:cs="宋体" w:hint="eastAsia"/>
          <w:sz w:val="36"/>
          <w:szCs w:val="30"/>
        </w:rPr>
        <w:t>（征求意见稿）</w:t>
      </w:r>
    </w:p>
    <w:p w14:paraId="7544AA83" w14:textId="24B5BC47" w:rsidR="00FE4DC8" w:rsidRPr="00FE4DC8" w:rsidRDefault="007A01ED" w:rsidP="003D19D8">
      <w:pPr>
        <w:spacing w:line="540" w:lineRule="exact"/>
        <w:ind w:firstLineChars="202" w:firstLine="606"/>
        <w:rPr>
          <w:rFonts w:ascii="仿宋" w:eastAsia="仿宋" w:hAnsi="仿宋"/>
          <w:sz w:val="30"/>
          <w:szCs w:val="30"/>
        </w:rPr>
      </w:pPr>
      <w:r>
        <w:rPr>
          <w:rFonts w:ascii="仿宋" w:eastAsia="仿宋" w:hAnsi="仿宋" w:hint="eastAsia"/>
          <w:sz w:val="30"/>
          <w:szCs w:val="30"/>
        </w:rPr>
        <w:t>基于药品全生命周期管理的</w:t>
      </w:r>
      <w:r w:rsidR="00FE4DC8" w:rsidRPr="00FE4DC8">
        <w:rPr>
          <w:rFonts w:ascii="仿宋" w:eastAsia="仿宋" w:hAnsi="仿宋" w:hint="eastAsia"/>
          <w:sz w:val="30"/>
          <w:szCs w:val="30"/>
        </w:rPr>
        <w:t>原则，</w:t>
      </w:r>
      <w:r w:rsidR="00FA29DC">
        <w:rPr>
          <w:rFonts w:ascii="仿宋" w:eastAsia="仿宋" w:hAnsi="仿宋" w:hint="eastAsia"/>
          <w:sz w:val="30"/>
          <w:szCs w:val="30"/>
        </w:rPr>
        <w:t>《中华人民共和国</w:t>
      </w:r>
      <w:r w:rsidR="00994BD6" w:rsidRPr="00994BD6">
        <w:rPr>
          <w:rFonts w:ascii="仿宋" w:eastAsia="仿宋" w:hAnsi="仿宋" w:hint="eastAsia"/>
          <w:sz w:val="30"/>
          <w:szCs w:val="30"/>
        </w:rPr>
        <w:t>药品管理法</w:t>
      </w:r>
      <w:r w:rsidR="00FA29DC">
        <w:rPr>
          <w:rFonts w:ascii="仿宋" w:eastAsia="仿宋" w:hAnsi="仿宋" w:hint="eastAsia"/>
          <w:sz w:val="30"/>
          <w:szCs w:val="30"/>
        </w:rPr>
        <w:t>》</w:t>
      </w:r>
      <w:r w:rsidR="00994BD6" w:rsidRPr="00994BD6">
        <w:rPr>
          <w:rFonts w:ascii="仿宋" w:eastAsia="仿宋" w:hAnsi="仿宋" w:hint="eastAsia"/>
          <w:sz w:val="30"/>
          <w:szCs w:val="30"/>
        </w:rPr>
        <w:t>第八十三条规定药品上市许可持有人（以下简称</w:t>
      </w:r>
      <w:r w:rsidR="00994BD6">
        <w:rPr>
          <w:rFonts w:ascii="仿宋" w:eastAsia="仿宋" w:hAnsi="仿宋" w:hint="eastAsia"/>
          <w:sz w:val="30"/>
          <w:szCs w:val="30"/>
        </w:rPr>
        <w:t>“</w:t>
      </w:r>
      <w:r w:rsidR="00994BD6" w:rsidRPr="00994BD6">
        <w:rPr>
          <w:rFonts w:ascii="仿宋" w:eastAsia="仿宋" w:hAnsi="仿宋" w:hint="eastAsia"/>
          <w:sz w:val="30"/>
          <w:szCs w:val="30"/>
        </w:rPr>
        <w:t>持有人</w:t>
      </w:r>
      <w:r w:rsidR="00994BD6">
        <w:rPr>
          <w:rFonts w:ascii="仿宋" w:eastAsia="仿宋" w:hAnsi="仿宋" w:hint="eastAsia"/>
          <w:sz w:val="30"/>
          <w:szCs w:val="30"/>
        </w:rPr>
        <w:t>”</w:t>
      </w:r>
      <w:r w:rsidR="00994BD6" w:rsidRPr="00994BD6">
        <w:rPr>
          <w:rFonts w:ascii="仿宋" w:eastAsia="仿宋" w:hAnsi="仿宋" w:hint="eastAsia"/>
          <w:sz w:val="30"/>
          <w:szCs w:val="30"/>
        </w:rPr>
        <w:t>）应当对已上市药品的安全性定期开展评价，必要时，国务院药品监督管理部门可以责令持有人开展评价。</w:t>
      </w:r>
      <w:r w:rsidR="00FA29DC">
        <w:rPr>
          <w:rFonts w:ascii="仿宋" w:eastAsia="仿宋" w:hAnsi="仿宋" w:hint="eastAsia"/>
          <w:sz w:val="30"/>
          <w:szCs w:val="30"/>
        </w:rPr>
        <w:t>药品</w:t>
      </w:r>
      <w:r w:rsidR="00994BD6" w:rsidRPr="00994BD6">
        <w:rPr>
          <w:rFonts w:ascii="仿宋" w:eastAsia="仿宋" w:hAnsi="仿宋" w:hint="eastAsia"/>
          <w:sz w:val="30"/>
          <w:szCs w:val="30"/>
        </w:rPr>
        <w:t>上市后安全性评价是持有人</w:t>
      </w:r>
      <w:r w:rsidR="00497521">
        <w:rPr>
          <w:rFonts w:ascii="仿宋" w:eastAsia="仿宋" w:hAnsi="仿宋" w:hint="eastAsia"/>
          <w:sz w:val="30"/>
          <w:szCs w:val="30"/>
        </w:rPr>
        <w:t>履行</w:t>
      </w:r>
      <w:r w:rsidR="00E14B4E">
        <w:rPr>
          <w:rFonts w:ascii="仿宋" w:eastAsia="仿宋" w:hAnsi="仿宋" w:hint="eastAsia"/>
          <w:sz w:val="30"/>
          <w:szCs w:val="30"/>
        </w:rPr>
        <w:t>药品安全责任</w:t>
      </w:r>
      <w:r w:rsidR="00497521">
        <w:rPr>
          <w:rFonts w:ascii="仿宋" w:eastAsia="仿宋" w:hAnsi="仿宋" w:hint="eastAsia"/>
          <w:sz w:val="30"/>
          <w:szCs w:val="30"/>
        </w:rPr>
        <w:t>的重要手段</w:t>
      </w:r>
      <w:r w:rsidR="00994BD6" w:rsidRPr="00994BD6">
        <w:rPr>
          <w:rFonts w:ascii="仿宋" w:eastAsia="仿宋" w:hAnsi="仿宋" w:hint="eastAsia"/>
          <w:sz w:val="30"/>
          <w:szCs w:val="30"/>
        </w:rPr>
        <w:t>。</w:t>
      </w:r>
    </w:p>
    <w:p w14:paraId="664E5674" w14:textId="5A49D0F7" w:rsidR="00FE4DC8" w:rsidRPr="00FE4DC8" w:rsidRDefault="00FE4DC8" w:rsidP="003D19D8">
      <w:pPr>
        <w:spacing w:line="540" w:lineRule="exact"/>
        <w:ind w:firstLineChars="202" w:firstLine="606"/>
        <w:rPr>
          <w:rFonts w:ascii="仿宋" w:eastAsia="仿宋" w:hAnsi="仿宋"/>
          <w:sz w:val="30"/>
          <w:szCs w:val="30"/>
        </w:rPr>
      </w:pPr>
      <w:r w:rsidRPr="00FE4DC8">
        <w:rPr>
          <w:rFonts w:ascii="仿宋" w:eastAsia="仿宋" w:hAnsi="仿宋" w:hint="eastAsia"/>
          <w:sz w:val="30"/>
          <w:szCs w:val="30"/>
        </w:rPr>
        <w:t>本指导原则</w:t>
      </w:r>
      <w:r w:rsidR="007A01ED">
        <w:rPr>
          <w:rFonts w:ascii="仿宋" w:eastAsia="仿宋" w:hAnsi="仿宋" w:hint="eastAsia"/>
          <w:sz w:val="30"/>
          <w:szCs w:val="30"/>
        </w:rPr>
        <w:t>适用于</w:t>
      </w:r>
      <w:r w:rsidRPr="00FE4DC8">
        <w:rPr>
          <w:rFonts w:ascii="仿宋" w:eastAsia="仿宋" w:hAnsi="仿宋" w:hint="eastAsia"/>
          <w:sz w:val="30"/>
          <w:szCs w:val="30"/>
        </w:rPr>
        <w:t>药品上市后</w:t>
      </w:r>
      <w:r w:rsidR="007673DA">
        <w:rPr>
          <w:rFonts w:ascii="仿宋" w:eastAsia="仿宋" w:hAnsi="仿宋" w:hint="eastAsia"/>
          <w:sz w:val="30"/>
          <w:szCs w:val="30"/>
        </w:rPr>
        <w:t>因</w:t>
      </w:r>
      <w:r w:rsidRPr="00FE4DC8">
        <w:rPr>
          <w:rFonts w:ascii="仿宋" w:eastAsia="仿宋" w:hAnsi="仿宋" w:hint="eastAsia"/>
          <w:sz w:val="30"/>
          <w:szCs w:val="30"/>
        </w:rPr>
        <w:t>暴露出安全性问题，持有人依据</w:t>
      </w:r>
      <w:r w:rsidR="00412AE6">
        <w:rPr>
          <w:rFonts w:ascii="仿宋" w:eastAsia="仿宋" w:hAnsi="仿宋" w:hint="eastAsia"/>
          <w:sz w:val="30"/>
          <w:szCs w:val="30"/>
        </w:rPr>
        <w:t>相关法律</w:t>
      </w:r>
      <w:r w:rsidRPr="00FE4DC8">
        <w:rPr>
          <w:rFonts w:ascii="仿宋" w:eastAsia="仿宋" w:hAnsi="仿宋" w:hint="eastAsia"/>
          <w:sz w:val="30"/>
          <w:szCs w:val="30"/>
        </w:rPr>
        <w:t>法规或监管部门要求对药品</w:t>
      </w:r>
      <w:r w:rsidR="007673DA">
        <w:rPr>
          <w:rFonts w:ascii="仿宋" w:eastAsia="仿宋" w:hAnsi="仿宋" w:hint="eastAsia"/>
          <w:sz w:val="30"/>
          <w:szCs w:val="30"/>
        </w:rPr>
        <w:t>开展的安全性</w:t>
      </w:r>
      <w:r w:rsidR="00220839">
        <w:rPr>
          <w:rFonts w:ascii="仿宋" w:eastAsia="仿宋" w:hAnsi="仿宋" w:hint="eastAsia"/>
          <w:sz w:val="30"/>
          <w:szCs w:val="30"/>
        </w:rPr>
        <w:t>评价</w:t>
      </w:r>
      <w:r w:rsidR="00497521">
        <w:rPr>
          <w:rFonts w:ascii="仿宋" w:eastAsia="仿宋" w:hAnsi="仿宋" w:hint="eastAsia"/>
          <w:sz w:val="30"/>
          <w:szCs w:val="30"/>
        </w:rPr>
        <w:t>，</w:t>
      </w:r>
      <w:r w:rsidR="00220839">
        <w:rPr>
          <w:rFonts w:ascii="仿宋" w:eastAsia="仿宋" w:hAnsi="仿宋" w:hint="eastAsia"/>
          <w:sz w:val="30"/>
          <w:szCs w:val="30"/>
        </w:rPr>
        <w:t>即</w:t>
      </w:r>
      <w:r w:rsidR="00FA29DC">
        <w:rPr>
          <w:rFonts w:ascii="仿宋" w:eastAsia="仿宋" w:hAnsi="仿宋" w:hint="eastAsia"/>
          <w:sz w:val="30"/>
          <w:szCs w:val="30"/>
        </w:rPr>
        <w:t>“</w:t>
      </w:r>
      <w:r w:rsidRPr="00FE4DC8">
        <w:rPr>
          <w:rFonts w:ascii="仿宋" w:eastAsia="仿宋" w:hAnsi="仿宋" w:hint="eastAsia"/>
          <w:sz w:val="30"/>
          <w:szCs w:val="30"/>
        </w:rPr>
        <w:t>有因评价</w:t>
      </w:r>
      <w:r w:rsidR="00FA29DC">
        <w:rPr>
          <w:rFonts w:ascii="仿宋" w:eastAsia="仿宋" w:hAnsi="仿宋" w:hint="eastAsia"/>
          <w:sz w:val="30"/>
          <w:szCs w:val="30"/>
        </w:rPr>
        <w:t>”</w:t>
      </w:r>
      <w:r w:rsidRPr="00FE4DC8">
        <w:rPr>
          <w:rFonts w:ascii="仿宋" w:eastAsia="仿宋" w:hAnsi="仿宋" w:hint="eastAsia"/>
          <w:sz w:val="30"/>
          <w:szCs w:val="30"/>
        </w:rPr>
        <w:t>。</w:t>
      </w:r>
      <w:r w:rsidR="00220839">
        <w:rPr>
          <w:rFonts w:ascii="仿宋" w:eastAsia="仿宋" w:hAnsi="仿宋" w:hint="eastAsia"/>
          <w:sz w:val="30"/>
          <w:szCs w:val="30"/>
        </w:rPr>
        <w:t>持有人按照</w:t>
      </w:r>
      <w:r w:rsidR="007A01ED">
        <w:rPr>
          <w:rFonts w:ascii="仿宋" w:eastAsia="仿宋" w:hAnsi="仿宋" w:hint="eastAsia"/>
          <w:sz w:val="30"/>
          <w:szCs w:val="30"/>
        </w:rPr>
        <w:t>《药物警戒质量管理规范》开展的信号评价</w:t>
      </w:r>
      <w:r w:rsidR="007673DA">
        <w:rPr>
          <w:rFonts w:ascii="仿宋" w:eastAsia="仿宋" w:hAnsi="仿宋" w:hint="eastAsia"/>
          <w:sz w:val="30"/>
          <w:szCs w:val="30"/>
        </w:rPr>
        <w:t>和</w:t>
      </w:r>
      <w:r w:rsidR="007A01ED">
        <w:rPr>
          <w:rFonts w:ascii="仿宋" w:eastAsia="仿宋" w:hAnsi="仿宋" w:hint="eastAsia"/>
          <w:sz w:val="30"/>
          <w:szCs w:val="30"/>
        </w:rPr>
        <w:t>风险评估亦可参照本指导原则。</w:t>
      </w:r>
      <w:r w:rsidR="001858FF" w:rsidRPr="00DA2EB8">
        <w:rPr>
          <w:rFonts w:ascii="仿宋" w:eastAsia="仿宋" w:hAnsi="仿宋" w:hint="eastAsia"/>
          <w:sz w:val="30"/>
          <w:szCs w:val="30"/>
        </w:rPr>
        <w:t>对已上市药品的安全性定期开展的评价和</w:t>
      </w:r>
      <w:r w:rsidR="008A7A05">
        <w:rPr>
          <w:rFonts w:ascii="仿宋" w:eastAsia="仿宋" w:hAnsi="仿宋" w:hint="eastAsia"/>
          <w:sz w:val="30"/>
          <w:szCs w:val="30"/>
        </w:rPr>
        <w:t>因药品质量问题开展的调查不适用本指导原则。</w:t>
      </w:r>
    </w:p>
    <w:p w14:paraId="4117C099" w14:textId="71D8734C" w:rsidR="00220839" w:rsidRDefault="007A01ED" w:rsidP="0082323D">
      <w:pPr>
        <w:spacing w:line="540" w:lineRule="exact"/>
        <w:ind w:firstLineChars="202" w:firstLine="606"/>
        <w:rPr>
          <w:rFonts w:ascii="仿宋" w:eastAsia="仿宋" w:hAnsi="仿宋"/>
          <w:sz w:val="30"/>
          <w:szCs w:val="30"/>
        </w:rPr>
      </w:pPr>
      <w:r>
        <w:rPr>
          <w:rFonts w:ascii="仿宋" w:eastAsia="仿宋" w:hAnsi="仿宋" w:hint="eastAsia"/>
          <w:sz w:val="30"/>
          <w:szCs w:val="30"/>
        </w:rPr>
        <w:t>本指导原则旨在为持有人开展上市后安全性评价工作提供</w:t>
      </w:r>
      <w:r w:rsidR="00116015">
        <w:rPr>
          <w:rFonts w:ascii="仿宋" w:eastAsia="仿宋" w:hAnsi="仿宋" w:hint="eastAsia"/>
          <w:sz w:val="30"/>
          <w:szCs w:val="30"/>
        </w:rPr>
        <w:t>技术</w:t>
      </w:r>
      <w:r>
        <w:rPr>
          <w:rFonts w:ascii="仿宋" w:eastAsia="仿宋" w:hAnsi="仿宋" w:hint="eastAsia"/>
          <w:sz w:val="30"/>
          <w:szCs w:val="30"/>
        </w:rPr>
        <w:t>指导，</w:t>
      </w:r>
      <w:r w:rsidR="00E96C6A" w:rsidRPr="00E96C6A">
        <w:rPr>
          <w:rFonts w:ascii="仿宋" w:eastAsia="仿宋" w:hAnsi="仿宋" w:hint="eastAsia"/>
          <w:sz w:val="30"/>
          <w:szCs w:val="30"/>
        </w:rPr>
        <w:t>仅代表当前的观点和认知</w:t>
      </w:r>
      <w:r w:rsidR="00E96C6A">
        <w:rPr>
          <w:rFonts w:ascii="仿宋" w:eastAsia="仿宋" w:hAnsi="仿宋" w:hint="eastAsia"/>
          <w:sz w:val="30"/>
          <w:szCs w:val="30"/>
        </w:rPr>
        <w:t>，随着药物警戒的发展，本指导原则将不断完善</w:t>
      </w:r>
      <w:r>
        <w:rPr>
          <w:rFonts w:ascii="仿宋" w:eastAsia="仿宋" w:hAnsi="仿宋" w:hint="eastAsia"/>
          <w:sz w:val="30"/>
          <w:szCs w:val="30"/>
        </w:rPr>
        <w:t>。</w:t>
      </w:r>
    </w:p>
    <w:p w14:paraId="2032D9CE" w14:textId="66880E05" w:rsidR="00CE45A8" w:rsidRPr="00CE45A8" w:rsidRDefault="008D7B7B" w:rsidP="00610C76">
      <w:pPr>
        <w:pStyle w:val="a7"/>
        <w:numPr>
          <w:ilvl w:val="0"/>
          <w:numId w:val="18"/>
        </w:numPr>
        <w:spacing w:line="540" w:lineRule="exact"/>
        <w:ind w:firstLineChars="0" w:firstLine="207"/>
        <w:outlineLvl w:val="0"/>
        <w:rPr>
          <w:rFonts w:ascii="黑体" w:eastAsia="黑体" w:hAnsi="黑体"/>
          <w:sz w:val="30"/>
          <w:szCs w:val="30"/>
        </w:rPr>
      </w:pPr>
      <w:bookmarkStart w:id="0" w:name="_Toc177114402"/>
      <w:r>
        <w:rPr>
          <w:rFonts w:ascii="黑体" w:eastAsia="黑体" w:hAnsi="黑体" w:hint="eastAsia"/>
          <w:sz w:val="30"/>
          <w:szCs w:val="30"/>
        </w:rPr>
        <w:t>评价</w:t>
      </w:r>
      <w:r w:rsidR="004F14D4">
        <w:rPr>
          <w:rFonts w:ascii="黑体" w:eastAsia="黑体" w:hAnsi="黑体" w:hint="eastAsia"/>
          <w:sz w:val="30"/>
          <w:szCs w:val="30"/>
        </w:rPr>
        <w:t>起</w:t>
      </w:r>
      <w:r w:rsidR="00187CA9">
        <w:rPr>
          <w:rFonts w:ascii="黑体" w:eastAsia="黑体" w:hAnsi="黑体" w:hint="eastAsia"/>
          <w:sz w:val="30"/>
          <w:szCs w:val="30"/>
        </w:rPr>
        <w:t>因</w:t>
      </w:r>
      <w:r w:rsidR="00617F32">
        <w:rPr>
          <w:rFonts w:ascii="黑体" w:eastAsia="黑体" w:hAnsi="黑体" w:hint="eastAsia"/>
          <w:sz w:val="30"/>
          <w:szCs w:val="30"/>
        </w:rPr>
        <w:t>和</w:t>
      </w:r>
      <w:r w:rsidR="00F61191">
        <w:rPr>
          <w:rFonts w:ascii="黑体" w:eastAsia="黑体" w:hAnsi="黑体" w:hint="eastAsia"/>
          <w:sz w:val="30"/>
          <w:szCs w:val="30"/>
        </w:rPr>
        <w:t>目标</w:t>
      </w:r>
      <w:bookmarkEnd w:id="0"/>
    </w:p>
    <w:p w14:paraId="33B7BE1D" w14:textId="520D6DA5" w:rsidR="004731F2" w:rsidRPr="004731F2" w:rsidRDefault="004731F2" w:rsidP="003D19D8">
      <w:pPr>
        <w:spacing w:line="540" w:lineRule="exact"/>
        <w:ind w:firstLineChars="202" w:firstLine="606"/>
        <w:rPr>
          <w:rFonts w:ascii="仿宋" w:eastAsia="仿宋" w:hAnsi="仿宋"/>
          <w:sz w:val="30"/>
          <w:szCs w:val="30"/>
        </w:rPr>
      </w:pPr>
      <w:r w:rsidRPr="004731F2">
        <w:rPr>
          <w:rFonts w:ascii="仿宋" w:eastAsia="仿宋" w:hAnsi="仿宋" w:hint="eastAsia"/>
          <w:sz w:val="30"/>
          <w:szCs w:val="30"/>
        </w:rPr>
        <w:t>药品上市后发现的安全性问题来源于各种途径，包括持有人通过</w:t>
      </w:r>
      <w:r w:rsidR="00224796">
        <w:rPr>
          <w:rFonts w:ascii="仿宋" w:eastAsia="仿宋" w:hAnsi="仿宋" w:hint="eastAsia"/>
          <w:sz w:val="30"/>
          <w:szCs w:val="30"/>
        </w:rPr>
        <w:t>常规</w:t>
      </w:r>
      <w:r w:rsidR="00F5719B">
        <w:rPr>
          <w:rFonts w:ascii="仿宋" w:eastAsia="仿宋" w:hAnsi="仿宋" w:hint="eastAsia"/>
          <w:sz w:val="30"/>
          <w:szCs w:val="30"/>
        </w:rPr>
        <w:t>信号检测</w:t>
      </w:r>
      <w:r w:rsidRPr="004731F2">
        <w:rPr>
          <w:rFonts w:ascii="仿宋" w:eastAsia="仿宋" w:hAnsi="仿宋" w:hint="eastAsia"/>
          <w:sz w:val="30"/>
          <w:szCs w:val="30"/>
        </w:rPr>
        <w:t>发现的</w:t>
      </w:r>
      <w:r w:rsidR="00F6361E">
        <w:rPr>
          <w:rFonts w:ascii="仿宋" w:eastAsia="仿宋" w:hAnsi="仿宋" w:hint="eastAsia"/>
          <w:sz w:val="30"/>
          <w:szCs w:val="30"/>
        </w:rPr>
        <w:t>、</w:t>
      </w:r>
      <w:r w:rsidR="00224796">
        <w:rPr>
          <w:rFonts w:ascii="仿宋" w:eastAsia="仿宋" w:hAnsi="仿宋" w:hint="eastAsia"/>
          <w:sz w:val="30"/>
          <w:szCs w:val="30"/>
        </w:rPr>
        <w:t>监管部门问询的</w:t>
      </w:r>
      <w:r w:rsidR="00F6361E">
        <w:rPr>
          <w:rFonts w:ascii="仿宋" w:eastAsia="仿宋" w:hAnsi="仿宋" w:hint="eastAsia"/>
          <w:sz w:val="30"/>
          <w:szCs w:val="30"/>
        </w:rPr>
        <w:t>、</w:t>
      </w:r>
      <w:r w:rsidR="00224796">
        <w:rPr>
          <w:rFonts w:ascii="仿宋" w:eastAsia="仿宋" w:hAnsi="仿宋" w:hint="eastAsia"/>
          <w:sz w:val="30"/>
          <w:szCs w:val="30"/>
        </w:rPr>
        <w:t>从媒体</w:t>
      </w:r>
      <w:r w:rsidR="00F6361E">
        <w:rPr>
          <w:rFonts w:ascii="仿宋" w:eastAsia="仿宋" w:hAnsi="仿宋" w:hint="eastAsia"/>
          <w:sz w:val="30"/>
          <w:szCs w:val="30"/>
        </w:rPr>
        <w:t>或</w:t>
      </w:r>
      <w:r w:rsidR="00AD7A20">
        <w:rPr>
          <w:rFonts w:ascii="仿宋" w:eastAsia="仿宋" w:hAnsi="仿宋" w:hint="eastAsia"/>
          <w:sz w:val="30"/>
          <w:szCs w:val="30"/>
        </w:rPr>
        <w:t>投诉等渠道获知的</w:t>
      </w:r>
      <w:r w:rsidR="00F6361E">
        <w:rPr>
          <w:rFonts w:ascii="仿宋" w:eastAsia="仿宋" w:hAnsi="仿宋" w:hint="eastAsia"/>
          <w:sz w:val="30"/>
          <w:szCs w:val="30"/>
        </w:rPr>
        <w:t>等</w:t>
      </w:r>
      <w:r w:rsidR="00AD7A20">
        <w:rPr>
          <w:rFonts w:ascii="仿宋" w:eastAsia="仿宋" w:hAnsi="仿宋" w:hint="eastAsia"/>
          <w:sz w:val="30"/>
          <w:szCs w:val="30"/>
        </w:rPr>
        <w:t>。按照安全性问题产生的地域，其来源又可分为境</w:t>
      </w:r>
      <w:r w:rsidRPr="004731F2">
        <w:rPr>
          <w:rFonts w:ascii="仿宋" w:eastAsia="仿宋" w:hAnsi="仿宋" w:hint="eastAsia"/>
          <w:sz w:val="30"/>
          <w:szCs w:val="30"/>
        </w:rPr>
        <w:t>内暴露的和境外暴露的。</w:t>
      </w:r>
    </w:p>
    <w:p w14:paraId="2A607170" w14:textId="7CF6EFD6" w:rsidR="00C859F8" w:rsidRDefault="009921DF" w:rsidP="00065EEE">
      <w:pPr>
        <w:spacing w:line="540" w:lineRule="exact"/>
        <w:ind w:firstLineChars="202" w:firstLine="606"/>
        <w:rPr>
          <w:rFonts w:ascii="仿宋" w:eastAsia="仿宋" w:hAnsi="仿宋"/>
          <w:sz w:val="30"/>
          <w:szCs w:val="30"/>
        </w:rPr>
      </w:pPr>
      <w:r>
        <w:rPr>
          <w:rFonts w:ascii="仿宋" w:eastAsia="仿宋" w:hAnsi="仿宋" w:hint="eastAsia"/>
          <w:sz w:val="30"/>
          <w:szCs w:val="30"/>
        </w:rPr>
        <w:t>常见的安全性问题多与信号检测中发现的非预期</w:t>
      </w:r>
      <w:r w:rsidR="00187CA9">
        <w:rPr>
          <w:rFonts w:ascii="仿宋" w:eastAsia="仿宋" w:hAnsi="仿宋" w:hint="eastAsia"/>
          <w:sz w:val="30"/>
          <w:szCs w:val="30"/>
        </w:rPr>
        <w:t>不良事件</w:t>
      </w:r>
      <w:r>
        <w:rPr>
          <w:rFonts w:ascii="仿宋" w:eastAsia="仿宋" w:hAnsi="仿宋" w:hint="eastAsia"/>
          <w:sz w:val="30"/>
          <w:szCs w:val="30"/>
        </w:rPr>
        <w:t>或</w:t>
      </w:r>
      <w:r w:rsidR="00187CA9">
        <w:rPr>
          <w:rFonts w:ascii="仿宋" w:eastAsia="仿宋" w:hAnsi="仿宋" w:hint="eastAsia"/>
          <w:sz w:val="30"/>
          <w:szCs w:val="30"/>
        </w:rPr>
        <w:t>预期不良反应</w:t>
      </w:r>
      <w:r>
        <w:rPr>
          <w:rFonts w:ascii="仿宋" w:eastAsia="仿宋" w:hAnsi="仿宋" w:hint="eastAsia"/>
          <w:sz w:val="30"/>
          <w:szCs w:val="30"/>
        </w:rPr>
        <w:t>报告频率的升高有关</w:t>
      </w:r>
      <w:r w:rsidR="00FA29DC">
        <w:rPr>
          <w:rFonts w:ascii="仿宋" w:eastAsia="仿宋" w:hAnsi="仿宋" w:hint="eastAsia"/>
          <w:sz w:val="30"/>
          <w:szCs w:val="30"/>
        </w:rPr>
        <w:t>，也可能涉及药品的使用问</w:t>
      </w:r>
      <w:r w:rsidR="00FA29DC">
        <w:rPr>
          <w:rFonts w:ascii="仿宋" w:eastAsia="仿宋" w:hAnsi="仿宋" w:hint="eastAsia"/>
          <w:sz w:val="30"/>
          <w:szCs w:val="30"/>
        </w:rPr>
        <w:lastRenderedPageBreak/>
        <w:t>题或其他情况</w:t>
      </w:r>
      <w:r>
        <w:rPr>
          <w:rFonts w:ascii="仿宋" w:eastAsia="仿宋" w:hAnsi="仿宋" w:hint="eastAsia"/>
          <w:sz w:val="30"/>
          <w:szCs w:val="30"/>
        </w:rPr>
        <w:t>。</w:t>
      </w:r>
      <w:r w:rsidR="00F5719B">
        <w:rPr>
          <w:rFonts w:ascii="仿宋" w:eastAsia="仿宋" w:hAnsi="仿宋" w:hint="eastAsia"/>
          <w:sz w:val="30"/>
          <w:szCs w:val="30"/>
        </w:rPr>
        <w:t>在</w:t>
      </w:r>
      <w:r w:rsidR="004731F2" w:rsidRPr="004731F2">
        <w:rPr>
          <w:rFonts w:ascii="仿宋" w:eastAsia="仿宋" w:hAnsi="仿宋" w:hint="eastAsia"/>
          <w:sz w:val="30"/>
          <w:szCs w:val="30"/>
        </w:rPr>
        <w:t>启动</w:t>
      </w:r>
      <w:r w:rsidR="00B27C51">
        <w:rPr>
          <w:rFonts w:ascii="仿宋" w:eastAsia="仿宋" w:hAnsi="仿宋" w:hint="eastAsia"/>
          <w:sz w:val="30"/>
          <w:szCs w:val="30"/>
        </w:rPr>
        <w:t>安全性</w:t>
      </w:r>
      <w:r w:rsidR="004731F2" w:rsidRPr="004731F2">
        <w:rPr>
          <w:rFonts w:ascii="仿宋" w:eastAsia="仿宋" w:hAnsi="仿宋" w:hint="eastAsia"/>
          <w:sz w:val="30"/>
          <w:szCs w:val="30"/>
        </w:rPr>
        <w:t>评价</w:t>
      </w:r>
      <w:r w:rsidR="00F5719B">
        <w:rPr>
          <w:rFonts w:ascii="仿宋" w:eastAsia="仿宋" w:hAnsi="仿宋" w:hint="eastAsia"/>
          <w:sz w:val="30"/>
          <w:szCs w:val="30"/>
        </w:rPr>
        <w:t>前</w:t>
      </w:r>
      <w:r w:rsidR="00B27C51">
        <w:rPr>
          <w:rFonts w:ascii="仿宋" w:eastAsia="仿宋" w:hAnsi="仿宋" w:hint="eastAsia"/>
          <w:sz w:val="30"/>
          <w:szCs w:val="30"/>
        </w:rPr>
        <w:t>，</w:t>
      </w:r>
      <w:r w:rsidR="005D4621">
        <w:rPr>
          <w:rFonts w:ascii="仿宋" w:eastAsia="仿宋" w:hAnsi="仿宋" w:hint="eastAsia"/>
          <w:sz w:val="30"/>
          <w:szCs w:val="30"/>
        </w:rPr>
        <w:t>通常</w:t>
      </w:r>
      <w:r w:rsidR="00F5719B">
        <w:rPr>
          <w:rFonts w:ascii="仿宋" w:eastAsia="仿宋" w:hAnsi="仿宋" w:hint="eastAsia"/>
          <w:sz w:val="30"/>
          <w:szCs w:val="30"/>
        </w:rPr>
        <w:t>需要</w:t>
      </w:r>
      <w:r w:rsidR="00065EEE">
        <w:rPr>
          <w:rFonts w:ascii="仿宋" w:eastAsia="仿宋" w:hAnsi="仿宋" w:hint="eastAsia"/>
          <w:sz w:val="30"/>
          <w:szCs w:val="30"/>
        </w:rPr>
        <w:t>分析</w:t>
      </w:r>
      <w:r w:rsidR="00F5719B">
        <w:rPr>
          <w:rFonts w:ascii="仿宋" w:eastAsia="仿宋" w:hAnsi="仿宋" w:hint="eastAsia"/>
          <w:sz w:val="30"/>
          <w:szCs w:val="30"/>
        </w:rPr>
        <w:t>或预判</w:t>
      </w:r>
      <w:r w:rsidR="00B27C51">
        <w:rPr>
          <w:rFonts w:ascii="仿宋" w:eastAsia="仿宋" w:hAnsi="仿宋" w:hint="eastAsia"/>
          <w:sz w:val="30"/>
          <w:szCs w:val="30"/>
        </w:rPr>
        <w:t>安全性</w:t>
      </w:r>
      <w:r w:rsidR="00F5719B">
        <w:rPr>
          <w:rFonts w:ascii="仿宋" w:eastAsia="仿宋" w:hAnsi="仿宋" w:hint="eastAsia"/>
          <w:sz w:val="30"/>
          <w:szCs w:val="30"/>
        </w:rPr>
        <w:t>问题</w:t>
      </w:r>
      <w:r w:rsidR="00A637D4">
        <w:rPr>
          <w:rFonts w:ascii="仿宋" w:eastAsia="仿宋" w:hAnsi="仿宋" w:hint="eastAsia"/>
          <w:sz w:val="30"/>
          <w:szCs w:val="30"/>
        </w:rPr>
        <w:t>的性质，</w:t>
      </w:r>
      <w:r>
        <w:rPr>
          <w:rFonts w:ascii="仿宋" w:eastAsia="仿宋" w:hAnsi="仿宋" w:hint="eastAsia"/>
          <w:sz w:val="30"/>
          <w:szCs w:val="30"/>
        </w:rPr>
        <w:t>确定</w:t>
      </w:r>
      <w:r w:rsidR="00065EEE">
        <w:rPr>
          <w:rFonts w:ascii="仿宋" w:eastAsia="仿宋" w:hAnsi="仿宋" w:hint="eastAsia"/>
          <w:sz w:val="30"/>
          <w:szCs w:val="30"/>
        </w:rPr>
        <w:t>评价</w:t>
      </w:r>
      <w:r>
        <w:rPr>
          <w:rFonts w:ascii="仿宋" w:eastAsia="仿宋" w:hAnsi="仿宋" w:hint="eastAsia"/>
          <w:sz w:val="30"/>
          <w:szCs w:val="30"/>
        </w:rPr>
        <w:t>维度</w:t>
      </w:r>
      <w:r w:rsidR="002459DD">
        <w:rPr>
          <w:rFonts w:ascii="仿宋" w:eastAsia="仿宋" w:hAnsi="仿宋" w:hint="eastAsia"/>
          <w:sz w:val="30"/>
          <w:szCs w:val="30"/>
        </w:rPr>
        <w:t>或提出假设，</w:t>
      </w:r>
      <w:r w:rsidR="007673DA">
        <w:rPr>
          <w:rFonts w:ascii="仿宋" w:eastAsia="仿宋" w:hAnsi="仿宋" w:hint="eastAsia"/>
          <w:sz w:val="30"/>
          <w:szCs w:val="30"/>
        </w:rPr>
        <w:t>进一步明</w:t>
      </w:r>
      <w:r w:rsidR="002459DD">
        <w:rPr>
          <w:rFonts w:ascii="仿宋" w:eastAsia="仿宋" w:hAnsi="仿宋" w:hint="eastAsia"/>
          <w:sz w:val="30"/>
          <w:szCs w:val="30"/>
        </w:rPr>
        <w:t>确</w:t>
      </w:r>
      <w:r w:rsidR="009A6992">
        <w:rPr>
          <w:rFonts w:ascii="仿宋" w:eastAsia="仿宋" w:hAnsi="仿宋" w:hint="eastAsia"/>
          <w:sz w:val="30"/>
          <w:szCs w:val="30"/>
        </w:rPr>
        <w:t>评价</w:t>
      </w:r>
      <w:r w:rsidR="002459DD">
        <w:rPr>
          <w:rFonts w:ascii="仿宋" w:eastAsia="仿宋" w:hAnsi="仿宋" w:hint="eastAsia"/>
          <w:sz w:val="30"/>
          <w:szCs w:val="30"/>
        </w:rPr>
        <w:t>的具体</w:t>
      </w:r>
      <w:r w:rsidR="009A6992">
        <w:rPr>
          <w:rFonts w:ascii="仿宋" w:eastAsia="仿宋" w:hAnsi="仿宋" w:hint="eastAsia"/>
          <w:sz w:val="30"/>
          <w:szCs w:val="30"/>
        </w:rPr>
        <w:t>目标</w:t>
      </w:r>
      <w:r w:rsidR="00A637D4">
        <w:rPr>
          <w:rFonts w:ascii="仿宋" w:eastAsia="仿宋" w:hAnsi="仿宋" w:hint="eastAsia"/>
          <w:sz w:val="30"/>
          <w:szCs w:val="30"/>
        </w:rPr>
        <w:t>。</w:t>
      </w:r>
      <w:r w:rsidR="0043017C" w:rsidRPr="0043017C">
        <w:rPr>
          <w:rFonts w:ascii="仿宋" w:eastAsia="仿宋" w:hAnsi="仿宋" w:hint="eastAsia"/>
          <w:sz w:val="30"/>
          <w:szCs w:val="30"/>
        </w:rPr>
        <w:t>合理确定评价目标对于有效开展评价工作非常重要。</w:t>
      </w:r>
      <w:r w:rsidR="005D4621">
        <w:rPr>
          <w:rFonts w:ascii="仿宋" w:eastAsia="仿宋" w:hAnsi="仿宋" w:hint="eastAsia"/>
          <w:sz w:val="30"/>
          <w:szCs w:val="30"/>
        </w:rPr>
        <w:t>评价人员可能</w:t>
      </w:r>
      <w:r w:rsidR="002872FD">
        <w:rPr>
          <w:rFonts w:ascii="仿宋" w:eastAsia="仿宋" w:hAnsi="仿宋" w:hint="eastAsia"/>
          <w:sz w:val="30"/>
          <w:szCs w:val="30"/>
        </w:rPr>
        <w:t>从以下</w:t>
      </w:r>
      <w:r w:rsidR="00C859F8">
        <w:rPr>
          <w:rFonts w:ascii="仿宋" w:eastAsia="仿宋" w:hAnsi="仿宋" w:hint="eastAsia"/>
          <w:sz w:val="30"/>
          <w:szCs w:val="30"/>
        </w:rPr>
        <w:t>方面考虑安全性</w:t>
      </w:r>
      <w:r w:rsidR="00065EEE">
        <w:rPr>
          <w:rFonts w:ascii="仿宋" w:eastAsia="仿宋" w:hAnsi="仿宋" w:hint="eastAsia"/>
          <w:sz w:val="30"/>
          <w:szCs w:val="30"/>
        </w:rPr>
        <w:t>问题的性质</w:t>
      </w:r>
      <w:r w:rsidR="0043017C">
        <w:rPr>
          <w:rFonts w:ascii="仿宋" w:eastAsia="仿宋" w:hAnsi="仿宋" w:hint="eastAsia"/>
          <w:sz w:val="30"/>
          <w:szCs w:val="30"/>
        </w:rPr>
        <w:t>和</w:t>
      </w:r>
      <w:r w:rsidR="00C859F8">
        <w:rPr>
          <w:rFonts w:ascii="仿宋" w:eastAsia="仿宋" w:hAnsi="仿宋" w:hint="eastAsia"/>
          <w:sz w:val="30"/>
          <w:szCs w:val="30"/>
        </w:rPr>
        <w:t>评价目标</w:t>
      </w:r>
      <w:r w:rsidR="00F945D7">
        <w:rPr>
          <w:rFonts w:ascii="仿宋" w:eastAsia="仿宋" w:hAnsi="仿宋" w:hint="eastAsia"/>
          <w:sz w:val="30"/>
          <w:szCs w:val="30"/>
        </w:rPr>
        <w:t>：</w:t>
      </w:r>
    </w:p>
    <w:p w14:paraId="7CEDE316" w14:textId="18BB01EE" w:rsidR="00F61191" w:rsidRPr="00E9369E" w:rsidRDefault="00DF12A8" w:rsidP="00F945D7">
      <w:pPr>
        <w:tabs>
          <w:tab w:val="left" w:pos="993"/>
        </w:tabs>
        <w:spacing w:line="540" w:lineRule="exact"/>
        <w:ind w:firstLineChars="200" w:firstLine="602"/>
        <w:rPr>
          <w:rFonts w:ascii="仿宋" w:eastAsia="仿宋" w:hAnsi="仿宋"/>
          <w:sz w:val="30"/>
          <w:szCs w:val="30"/>
        </w:rPr>
      </w:pPr>
      <w:r w:rsidRPr="002872FD">
        <w:rPr>
          <w:rFonts w:ascii="仿宋" w:eastAsia="仿宋" w:hAnsi="仿宋" w:hint="eastAsia"/>
          <w:b/>
          <w:sz w:val="30"/>
          <w:szCs w:val="30"/>
        </w:rPr>
        <w:t>非预期不良</w:t>
      </w:r>
      <w:r w:rsidR="00F61191" w:rsidRPr="002872FD">
        <w:rPr>
          <w:rFonts w:ascii="仿宋" w:eastAsia="仿宋" w:hAnsi="仿宋" w:hint="eastAsia"/>
          <w:b/>
          <w:sz w:val="30"/>
          <w:szCs w:val="30"/>
        </w:rPr>
        <w:t>事件</w:t>
      </w:r>
      <w:r w:rsidR="00F61191" w:rsidRPr="00E9369E">
        <w:rPr>
          <w:rFonts w:ascii="仿宋" w:eastAsia="仿宋" w:hAnsi="仿宋" w:hint="eastAsia"/>
          <w:sz w:val="30"/>
          <w:szCs w:val="30"/>
        </w:rPr>
        <w:t>：</w:t>
      </w:r>
      <w:r w:rsidRPr="00E9369E">
        <w:rPr>
          <w:rFonts w:ascii="仿宋" w:eastAsia="仿宋" w:hAnsi="仿宋" w:hint="eastAsia"/>
          <w:sz w:val="30"/>
          <w:szCs w:val="30"/>
        </w:rPr>
        <w:t>评价目标主要是确证药品与不良事件之间的关联</w:t>
      </w:r>
      <w:r w:rsidR="005E3B44" w:rsidRPr="00E9369E">
        <w:rPr>
          <w:rFonts w:ascii="仿宋" w:eastAsia="仿宋" w:hAnsi="仿宋" w:hint="eastAsia"/>
          <w:sz w:val="30"/>
          <w:szCs w:val="30"/>
        </w:rPr>
        <w:t>性</w:t>
      </w:r>
      <w:r w:rsidR="007673DA" w:rsidRPr="00E9369E">
        <w:rPr>
          <w:rFonts w:ascii="仿宋" w:eastAsia="仿宋" w:hAnsi="仿宋" w:hint="eastAsia"/>
          <w:sz w:val="30"/>
          <w:szCs w:val="30"/>
        </w:rPr>
        <w:t>，即使用药品是否是会发生与</w:t>
      </w:r>
      <w:r w:rsidR="006B26DE" w:rsidRPr="00E9369E">
        <w:rPr>
          <w:rFonts w:ascii="仿宋" w:eastAsia="仿宋" w:hAnsi="仿宋" w:hint="eastAsia"/>
          <w:sz w:val="30"/>
          <w:szCs w:val="30"/>
        </w:rPr>
        <w:t>该</w:t>
      </w:r>
      <w:r w:rsidR="00C859F8" w:rsidRPr="00E9369E">
        <w:rPr>
          <w:rFonts w:ascii="仿宋" w:eastAsia="仿宋" w:hAnsi="仿宋" w:hint="eastAsia"/>
          <w:sz w:val="30"/>
          <w:szCs w:val="30"/>
        </w:rPr>
        <w:t>不良事件相关</w:t>
      </w:r>
      <w:r w:rsidR="006B26DE" w:rsidRPr="00E9369E">
        <w:rPr>
          <w:rFonts w:ascii="仿宋" w:eastAsia="仿宋" w:hAnsi="仿宋" w:hint="eastAsia"/>
          <w:sz w:val="30"/>
          <w:szCs w:val="30"/>
        </w:rPr>
        <w:t>的</w:t>
      </w:r>
      <w:r w:rsidR="009E3FCA" w:rsidRPr="00E9369E">
        <w:rPr>
          <w:rFonts w:ascii="仿宋" w:eastAsia="仿宋" w:hAnsi="仿宋" w:hint="eastAsia"/>
          <w:sz w:val="30"/>
          <w:szCs w:val="30"/>
        </w:rPr>
        <w:t>风险</w:t>
      </w:r>
      <w:r w:rsidR="00E471E5" w:rsidRPr="00E9369E">
        <w:rPr>
          <w:rFonts w:ascii="仿宋" w:eastAsia="仿宋" w:hAnsi="仿宋" w:hint="eastAsia"/>
          <w:sz w:val="30"/>
          <w:szCs w:val="30"/>
        </w:rPr>
        <w:t>。</w:t>
      </w:r>
      <w:r w:rsidR="009E3FCA" w:rsidRPr="00E9369E">
        <w:rPr>
          <w:rFonts w:ascii="仿宋" w:eastAsia="仿宋" w:hAnsi="仿宋" w:hint="eastAsia"/>
          <w:sz w:val="30"/>
          <w:szCs w:val="30"/>
        </w:rPr>
        <w:t>当风险已确认时</w:t>
      </w:r>
      <w:r w:rsidR="00655F15" w:rsidRPr="00E9369E">
        <w:rPr>
          <w:rFonts w:ascii="仿宋" w:eastAsia="仿宋" w:hAnsi="仿宋" w:hint="eastAsia"/>
          <w:sz w:val="30"/>
          <w:szCs w:val="30"/>
        </w:rPr>
        <w:t>，</w:t>
      </w:r>
      <w:r w:rsidR="00924C6D" w:rsidRPr="00E9369E">
        <w:rPr>
          <w:rFonts w:ascii="仿宋" w:eastAsia="仿宋" w:hAnsi="仿宋" w:hint="eastAsia"/>
          <w:sz w:val="30"/>
          <w:szCs w:val="30"/>
        </w:rPr>
        <w:t>通常还</w:t>
      </w:r>
      <w:r w:rsidR="007673DA" w:rsidRPr="00E9369E">
        <w:rPr>
          <w:rFonts w:ascii="仿宋" w:eastAsia="仿宋" w:hAnsi="仿宋" w:hint="eastAsia"/>
          <w:sz w:val="30"/>
          <w:szCs w:val="30"/>
        </w:rPr>
        <w:t>需要</w:t>
      </w:r>
      <w:r w:rsidR="00924C6D" w:rsidRPr="00E9369E">
        <w:rPr>
          <w:rFonts w:ascii="仿宋" w:eastAsia="仿宋" w:hAnsi="仿宋" w:hint="eastAsia"/>
          <w:sz w:val="30"/>
          <w:szCs w:val="30"/>
        </w:rPr>
        <w:t>对</w:t>
      </w:r>
      <w:r w:rsidR="006E307C" w:rsidRPr="00E9369E">
        <w:rPr>
          <w:rFonts w:ascii="仿宋" w:eastAsia="仿宋" w:hAnsi="仿宋" w:hint="eastAsia"/>
          <w:sz w:val="30"/>
          <w:szCs w:val="30"/>
        </w:rPr>
        <w:t>风险</w:t>
      </w:r>
      <w:r w:rsidR="00924C6D" w:rsidRPr="00E9369E">
        <w:rPr>
          <w:rFonts w:ascii="仿宋" w:eastAsia="仿宋" w:hAnsi="仿宋" w:hint="eastAsia"/>
          <w:sz w:val="30"/>
          <w:szCs w:val="30"/>
        </w:rPr>
        <w:t>的发生特征、</w:t>
      </w:r>
      <w:r w:rsidR="0044637F" w:rsidRPr="00E9369E">
        <w:rPr>
          <w:rFonts w:ascii="仿宋" w:eastAsia="仿宋" w:hAnsi="仿宋" w:hint="eastAsia"/>
          <w:sz w:val="30"/>
          <w:szCs w:val="30"/>
        </w:rPr>
        <w:t>发</w:t>
      </w:r>
      <w:r w:rsidR="006E307C" w:rsidRPr="00E9369E">
        <w:rPr>
          <w:rFonts w:ascii="仿宋" w:eastAsia="仿宋" w:hAnsi="仿宋" w:hint="eastAsia"/>
          <w:sz w:val="30"/>
          <w:szCs w:val="30"/>
        </w:rPr>
        <w:t>生机制</w:t>
      </w:r>
      <w:r w:rsidR="00C859F8" w:rsidRPr="00E9369E">
        <w:rPr>
          <w:rFonts w:ascii="仿宋" w:eastAsia="仿宋" w:hAnsi="仿宋" w:hint="eastAsia"/>
          <w:sz w:val="30"/>
          <w:szCs w:val="30"/>
        </w:rPr>
        <w:t>、影响因素</w:t>
      </w:r>
      <w:r w:rsidR="006E307C" w:rsidRPr="00E9369E">
        <w:rPr>
          <w:rFonts w:ascii="仿宋" w:eastAsia="仿宋" w:hAnsi="仿宋" w:hint="eastAsia"/>
          <w:sz w:val="30"/>
          <w:szCs w:val="30"/>
        </w:rPr>
        <w:t>等</w:t>
      </w:r>
      <w:r w:rsidR="00924C6D" w:rsidRPr="00E9369E">
        <w:rPr>
          <w:rFonts w:ascii="仿宋" w:eastAsia="仿宋" w:hAnsi="仿宋" w:hint="eastAsia"/>
          <w:sz w:val="30"/>
          <w:szCs w:val="30"/>
        </w:rPr>
        <w:t>进行评价</w:t>
      </w:r>
      <w:r w:rsidR="006E307C" w:rsidRPr="00E9369E">
        <w:rPr>
          <w:rFonts w:ascii="仿宋" w:eastAsia="仿宋" w:hAnsi="仿宋" w:hint="eastAsia"/>
          <w:sz w:val="30"/>
          <w:szCs w:val="30"/>
        </w:rPr>
        <w:t>或讨论</w:t>
      </w:r>
      <w:r w:rsidR="00924C6D" w:rsidRPr="00E9369E">
        <w:rPr>
          <w:rFonts w:ascii="仿宋" w:eastAsia="仿宋" w:hAnsi="仿宋" w:hint="eastAsia"/>
          <w:sz w:val="30"/>
          <w:szCs w:val="30"/>
        </w:rPr>
        <w:t>。</w:t>
      </w:r>
    </w:p>
    <w:p w14:paraId="63BCC991" w14:textId="696E2374" w:rsidR="00F61191" w:rsidRPr="00E9369E" w:rsidRDefault="00F61191" w:rsidP="00F945D7">
      <w:pPr>
        <w:tabs>
          <w:tab w:val="left" w:pos="993"/>
        </w:tabs>
        <w:spacing w:line="540" w:lineRule="exact"/>
        <w:ind w:firstLineChars="200" w:firstLine="602"/>
        <w:rPr>
          <w:rFonts w:ascii="仿宋" w:eastAsia="仿宋" w:hAnsi="仿宋"/>
          <w:sz w:val="30"/>
          <w:szCs w:val="30"/>
        </w:rPr>
      </w:pPr>
      <w:r w:rsidRPr="002872FD">
        <w:rPr>
          <w:rFonts w:ascii="仿宋" w:eastAsia="仿宋" w:hAnsi="仿宋" w:hint="eastAsia"/>
          <w:b/>
          <w:sz w:val="30"/>
          <w:szCs w:val="30"/>
        </w:rPr>
        <w:t>影响</w:t>
      </w:r>
      <w:r w:rsidR="00F73B19" w:rsidRPr="002872FD">
        <w:rPr>
          <w:rFonts w:ascii="仿宋" w:eastAsia="仿宋" w:hAnsi="仿宋" w:hint="eastAsia"/>
          <w:b/>
          <w:sz w:val="30"/>
          <w:szCs w:val="30"/>
        </w:rPr>
        <w:t>药品风险的</w:t>
      </w:r>
      <w:r w:rsidRPr="002872FD">
        <w:rPr>
          <w:rFonts w:ascii="仿宋" w:eastAsia="仿宋" w:hAnsi="仿宋" w:hint="eastAsia"/>
          <w:b/>
          <w:sz w:val="30"/>
          <w:szCs w:val="30"/>
        </w:rPr>
        <w:t>因素</w:t>
      </w:r>
      <w:r w:rsidRPr="00E9369E">
        <w:rPr>
          <w:rFonts w:ascii="仿宋" w:eastAsia="仿宋" w:hAnsi="仿宋" w:hint="eastAsia"/>
          <w:sz w:val="30"/>
          <w:szCs w:val="30"/>
        </w:rPr>
        <w:t>：</w:t>
      </w:r>
      <w:r w:rsidR="00A130D0" w:rsidRPr="00E9369E">
        <w:rPr>
          <w:rFonts w:ascii="仿宋" w:eastAsia="仿宋" w:hAnsi="仿宋" w:hint="eastAsia"/>
          <w:sz w:val="30"/>
          <w:szCs w:val="30"/>
        </w:rPr>
        <w:t>对于</w:t>
      </w:r>
      <w:r w:rsidR="00E51DD1" w:rsidRPr="00E9369E">
        <w:rPr>
          <w:rFonts w:ascii="仿宋" w:eastAsia="仿宋" w:hAnsi="仿宋" w:hint="eastAsia"/>
          <w:sz w:val="30"/>
          <w:szCs w:val="30"/>
        </w:rPr>
        <w:t>药品</w:t>
      </w:r>
      <w:r w:rsidR="009E3FCA" w:rsidRPr="00E9369E">
        <w:rPr>
          <w:rFonts w:ascii="仿宋" w:eastAsia="仿宋" w:hAnsi="仿宋" w:hint="eastAsia"/>
          <w:sz w:val="30"/>
          <w:szCs w:val="30"/>
        </w:rPr>
        <w:t>已知</w:t>
      </w:r>
      <w:r w:rsidR="00E51DD1" w:rsidRPr="00E9369E">
        <w:rPr>
          <w:rFonts w:ascii="仿宋" w:eastAsia="仿宋" w:hAnsi="仿宋" w:hint="eastAsia"/>
          <w:sz w:val="30"/>
          <w:szCs w:val="30"/>
        </w:rPr>
        <w:t>或</w:t>
      </w:r>
      <w:r w:rsidR="0044637F" w:rsidRPr="00E9369E">
        <w:rPr>
          <w:rFonts w:ascii="仿宋" w:eastAsia="仿宋" w:hAnsi="仿宋" w:hint="eastAsia"/>
          <w:sz w:val="30"/>
          <w:szCs w:val="30"/>
        </w:rPr>
        <w:t>已确认</w:t>
      </w:r>
      <w:r w:rsidR="004E76EA" w:rsidRPr="00E9369E">
        <w:rPr>
          <w:rFonts w:ascii="仿宋" w:eastAsia="仿宋" w:hAnsi="仿宋" w:hint="eastAsia"/>
          <w:sz w:val="30"/>
          <w:szCs w:val="30"/>
        </w:rPr>
        <w:t>风险，</w:t>
      </w:r>
      <w:r w:rsidR="009A6992" w:rsidRPr="00E9369E">
        <w:rPr>
          <w:rFonts w:ascii="仿宋" w:eastAsia="仿宋" w:hAnsi="仿宋" w:hint="eastAsia"/>
          <w:sz w:val="30"/>
          <w:szCs w:val="30"/>
        </w:rPr>
        <w:t>安全性问题可能聚焦</w:t>
      </w:r>
      <w:r w:rsidR="00A64706" w:rsidRPr="00E9369E">
        <w:rPr>
          <w:rFonts w:ascii="仿宋" w:eastAsia="仿宋" w:hAnsi="仿宋" w:hint="eastAsia"/>
          <w:sz w:val="30"/>
          <w:szCs w:val="30"/>
        </w:rPr>
        <w:t>于</w:t>
      </w:r>
      <w:r w:rsidR="009A6992" w:rsidRPr="00E9369E">
        <w:rPr>
          <w:rFonts w:ascii="仿宋" w:eastAsia="仿宋" w:hAnsi="仿宋" w:hint="eastAsia"/>
          <w:sz w:val="30"/>
          <w:szCs w:val="30"/>
        </w:rPr>
        <w:t>影响该风险的某种</w:t>
      </w:r>
      <w:r w:rsidR="0044637F" w:rsidRPr="00E9369E">
        <w:rPr>
          <w:rFonts w:ascii="仿宋" w:eastAsia="仿宋" w:hAnsi="仿宋" w:hint="eastAsia"/>
          <w:sz w:val="30"/>
          <w:szCs w:val="30"/>
        </w:rPr>
        <w:t>或</w:t>
      </w:r>
      <w:r w:rsidR="00A130D0" w:rsidRPr="00E9369E">
        <w:rPr>
          <w:rFonts w:ascii="仿宋" w:eastAsia="仿宋" w:hAnsi="仿宋" w:hint="eastAsia"/>
          <w:sz w:val="30"/>
          <w:szCs w:val="30"/>
        </w:rPr>
        <w:t>某</w:t>
      </w:r>
      <w:r w:rsidR="004E76EA" w:rsidRPr="00E9369E">
        <w:rPr>
          <w:rFonts w:ascii="仿宋" w:eastAsia="仿宋" w:hAnsi="仿宋" w:hint="eastAsia"/>
          <w:sz w:val="30"/>
          <w:szCs w:val="30"/>
        </w:rPr>
        <w:t>些</w:t>
      </w:r>
      <w:r w:rsidR="009A6992" w:rsidRPr="00E9369E">
        <w:rPr>
          <w:rFonts w:ascii="仿宋" w:eastAsia="仿宋" w:hAnsi="仿宋" w:hint="eastAsia"/>
          <w:sz w:val="30"/>
          <w:szCs w:val="30"/>
        </w:rPr>
        <w:t>因</w:t>
      </w:r>
      <w:r w:rsidR="00DF12A8" w:rsidRPr="00E9369E">
        <w:rPr>
          <w:rFonts w:ascii="仿宋" w:eastAsia="仿宋" w:hAnsi="仿宋" w:hint="eastAsia"/>
          <w:sz w:val="30"/>
          <w:szCs w:val="30"/>
        </w:rPr>
        <w:t>素</w:t>
      </w:r>
      <w:r w:rsidR="004E76EA" w:rsidRPr="00E9369E">
        <w:rPr>
          <w:rFonts w:ascii="仿宋" w:eastAsia="仿宋" w:hAnsi="仿宋" w:hint="eastAsia"/>
          <w:sz w:val="30"/>
          <w:szCs w:val="30"/>
        </w:rPr>
        <w:t>，</w:t>
      </w:r>
      <w:r w:rsidR="00A64706" w:rsidRPr="00E9369E">
        <w:rPr>
          <w:rFonts w:ascii="仿宋" w:eastAsia="仿宋" w:hAnsi="仿宋" w:hint="eastAsia"/>
          <w:sz w:val="30"/>
          <w:szCs w:val="30"/>
        </w:rPr>
        <w:t>如</w:t>
      </w:r>
      <w:r w:rsidR="00F73B19" w:rsidRPr="00E9369E">
        <w:rPr>
          <w:rFonts w:ascii="仿宋" w:eastAsia="仿宋" w:hAnsi="仿宋" w:hint="eastAsia"/>
          <w:sz w:val="30"/>
          <w:szCs w:val="30"/>
        </w:rPr>
        <w:t>高危人群</w:t>
      </w:r>
      <w:r w:rsidR="00A64706" w:rsidRPr="00E9369E">
        <w:rPr>
          <w:rFonts w:ascii="仿宋" w:eastAsia="仿宋" w:hAnsi="仿宋" w:hint="eastAsia"/>
          <w:sz w:val="30"/>
          <w:szCs w:val="30"/>
        </w:rPr>
        <w:t>、</w:t>
      </w:r>
      <w:r w:rsidR="009E3FCA" w:rsidRPr="00E9369E">
        <w:rPr>
          <w:rFonts w:ascii="仿宋" w:eastAsia="仿宋" w:hAnsi="仿宋" w:hint="eastAsia"/>
          <w:sz w:val="30"/>
          <w:szCs w:val="30"/>
        </w:rPr>
        <w:t>药用辅料、</w:t>
      </w:r>
      <w:r w:rsidR="0045196A" w:rsidRPr="00E9369E">
        <w:rPr>
          <w:rFonts w:ascii="仿宋" w:eastAsia="仿宋" w:hAnsi="仿宋" w:hint="eastAsia"/>
          <w:sz w:val="30"/>
          <w:szCs w:val="30"/>
        </w:rPr>
        <w:t>合并用药</w:t>
      </w:r>
      <w:r w:rsidR="00F73B19" w:rsidRPr="00E9369E">
        <w:rPr>
          <w:rFonts w:ascii="仿宋" w:eastAsia="仿宋" w:hAnsi="仿宋" w:hint="eastAsia"/>
          <w:sz w:val="30"/>
          <w:szCs w:val="30"/>
        </w:rPr>
        <w:t>等</w:t>
      </w:r>
      <w:r w:rsidR="00DF12A8" w:rsidRPr="00E9369E">
        <w:rPr>
          <w:rFonts w:ascii="仿宋" w:eastAsia="仿宋" w:hAnsi="仿宋" w:hint="eastAsia"/>
          <w:sz w:val="30"/>
          <w:szCs w:val="30"/>
        </w:rPr>
        <w:t>，</w:t>
      </w:r>
      <w:r w:rsidR="004E76EA" w:rsidRPr="00E9369E">
        <w:rPr>
          <w:rFonts w:ascii="仿宋" w:eastAsia="仿宋" w:hAnsi="仿宋" w:hint="eastAsia"/>
          <w:sz w:val="30"/>
          <w:szCs w:val="30"/>
        </w:rPr>
        <w:t>此时</w:t>
      </w:r>
      <w:r w:rsidR="00DF12A8" w:rsidRPr="00E9369E">
        <w:rPr>
          <w:rFonts w:ascii="仿宋" w:eastAsia="仿宋" w:hAnsi="仿宋" w:hint="eastAsia"/>
          <w:sz w:val="30"/>
          <w:szCs w:val="30"/>
        </w:rPr>
        <w:t>评价的目标</w:t>
      </w:r>
      <w:r w:rsidR="00EB2A7E" w:rsidRPr="00E9369E">
        <w:rPr>
          <w:rFonts w:ascii="仿宋" w:eastAsia="仿宋" w:hAnsi="仿宋" w:hint="eastAsia"/>
          <w:sz w:val="30"/>
          <w:szCs w:val="30"/>
        </w:rPr>
        <w:t>是</w:t>
      </w:r>
      <w:r w:rsidR="00DF12A8" w:rsidRPr="00E9369E">
        <w:rPr>
          <w:rFonts w:ascii="仿宋" w:eastAsia="仿宋" w:hAnsi="仿宋" w:hint="eastAsia"/>
          <w:sz w:val="30"/>
          <w:szCs w:val="30"/>
        </w:rPr>
        <w:t>该因素增加药品发生</w:t>
      </w:r>
      <w:r w:rsidR="00D3665A" w:rsidRPr="00E9369E">
        <w:rPr>
          <w:rFonts w:ascii="仿宋" w:eastAsia="仿宋" w:hAnsi="仿宋" w:hint="eastAsia"/>
          <w:sz w:val="30"/>
          <w:szCs w:val="30"/>
        </w:rPr>
        <w:t>已知</w:t>
      </w:r>
      <w:r w:rsidR="00E51DD1" w:rsidRPr="00E9369E">
        <w:rPr>
          <w:rFonts w:ascii="仿宋" w:eastAsia="仿宋" w:hAnsi="仿宋" w:hint="eastAsia"/>
          <w:sz w:val="30"/>
          <w:szCs w:val="30"/>
        </w:rPr>
        <w:t>或</w:t>
      </w:r>
      <w:r w:rsidR="00D3665A" w:rsidRPr="00E9369E">
        <w:rPr>
          <w:rFonts w:ascii="仿宋" w:eastAsia="仿宋" w:hAnsi="仿宋" w:hint="eastAsia"/>
          <w:sz w:val="30"/>
          <w:szCs w:val="30"/>
        </w:rPr>
        <w:t>已确认</w:t>
      </w:r>
      <w:r w:rsidR="00DF12A8" w:rsidRPr="00E9369E">
        <w:rPr>
          <w:rFonts w:ascii="仿宋" w:eastAsia="仿宋" w:hAnsi="仿宋" w:hint="eastAsia"/>
          <w:sz w:val="30"/>
          <w:szCs w:val="30"/>
        </w:rPr>
        <w:t>风险的可能性</w:t>
      </w:r>
      <w:r w:rsidR="00924C6D" w:rsidRPr="00E9369E">
        <w:rPr>
          <w:rFonts w:ascii="仿宋" w:eastAsia="仿宋" w:hAnsi="仿宋" w:hint="eastAsia"/>
          <w:sz w:val="30"/>
          <w:szCs w:val="30"/>
        </w:rPr>
        <w:t>。</w:t>
      </w:r>
    </w:p>
    <w:p w14:paraId="39F1E912" w14:textId="1ED20E76" w:rsidR="00F61191" w:rsidRPr="00E9369E" w:rsidRDefault="00F61191" w:rsidP="00F945D7">
      <w:pPr>
        <w:tabs>
          <w:tab w:val="left" w:pos="993"/>
        </w:tabs>
        <w:spacing w:line="540" w:lineRule="exact"/>
        <w:ind w:firstLineChars="200" w:firstLine="602"/>
        <w:rPr>
          <w:rFonts w:ascii="仿宋" w:eastAsia="仿宋" w:hAnsi="仿宋"/>
          <w:sz w:val="30"/>
          <w:szCs w:val="30"/>
        </w:rPr>
      </w:pPr>
      <w:r w:rsidRPr="002872FD">
        <w:rPr>
          <w:rFonts w:ascii="仿宋" w:eastAsia="仿宋" w:hAnsi="仿宋" w:hint="eastAsia"/>
          <w:b/>
          <w:sz w:val="30"/>
          <w:szCs w:val="30"/>
        </w:rPr>
        <w:t>药品使用问题</w:t>
      </w:r>
      <w:r w:rsidRPr="00E9369E">
        <w:rPr>
          <w:rFonts w:ascii="仿宋" w:eastAsia="仿宋" w:hAnsi="仿宋" w:hint="eastAsia"/>
          <w:sz w:val="30"/>
          <w:szCs w:val="30"/>
        </w:rPr>
        <w:t>：与安全性相关的</w:t>
      </w:r>
      <w:r w:rsidR="0044637F" w:rsidRPr="00E9369E">
        <w:rPr>
          <w:rFonts w:ascii="仿宋" w:eastAsia="仿宋" w:hAnsi="仿宋" w:hint="eastAsia"/>
          <w:sz w:val="30"/>
          <w:szCs w:val="30"/>
        </w:rPr>
        <w:t>药品</w:t>
      </w:r>
      <w:r w:rsidRPr="00E9369E">
        <w:rPr>
          <w:rFonts w:ascii="仿宋" w:eastAsia="仿宋" w:hAnsi="仿宋" w:hint="eastAsia"/>
          <w:sz w:val="30"/>
          <w:szCs w:val="30"/>
        </w:rPr>
        <w:t>使用问题通常包括药物的滥用、误用、用药错误等</w:t>
      </w:r>
      <w:r w:rsidR="00E9369E">
        <w:rPr>
          <w:rFonts w:ascii="仿宋" w:eastAsia="仿宋" w:hAnsi="仿宋" w:hint="eastAsia"/>
          <w:sz w:val="30"/>
          <w:szCs w:val="30"/>
        </w:rPr>
        <w:t>，</w:t>
      </w:r>
      <w:r w:rsidR="00924C6D" w:rsidRPr="00E9369E">
        <w:rPr>
          <w:rFonts w:ascii="仿宋" w:eastAsia="仿宋" w:hAnsi="仿宋" w:hint="eastAsia"/>
          <w:sz w:val="30"/>
          <w:szCs w:val="30"/>
        </w:rPr>
        <w:t>评价的目标</w:t>
      </w:r>
      <w:r w:rsidR="00DF12A8" w:rsidRPr="00E9369E">
        <w:rPr>
          <w:rFonts w:ascii="仿宋" w:eastAsia="仿宋" w:hAnsi="仿宋" w:hint="eastAsia"/>
          <w:sz w:val="30"/>
          <w:szCs w:val="30"/>
        </w:rPr>
        <w:t>一般</w:t>
      </w:r>
      <w:r w:rsidR="00924C6D" w:rsidRPr="00E9369E">
        <w:rPr>
          <w:rFonts w:ascii="仿宋" w:eastAsia="仿宋" w:hAnsi="仿宋" w:hint="eastAsia"/>
          <w:sz w:val="30"/>
          <w:szCs w:val="30"/>
        </w:rPr>
        <w:t>是</w:t>
      </w:r>
      <w:r w:rsidR="00DF12A8" w:rsidRPr="00E9369E">
        <w:rPr>
          <w:rFonts w:ascii="仿宋" w:eastAsia="仿宋" w:hAnsi="仿宋" w:hint="eastAsia"/>
          <w:sz w:val="30"/>
          <w:szCs w:val="30"/>
        </w:rPr>
        <w:t>使用问题存在的程度</w:t>
      </w:r>
      <w:r w:rsidR="000D2287" w:rsidRPr="00E9369E">
        <w:rPr>
          <w:rFonts w:ascii="仿宋" w:eastAsia="仿宋" w:hAnsi="仿宋" w:hint="eastAsia"/>
          <w:sz w:val="30"/>
          <w:szCs w:val="30"/>
        </w:rPr>
        <w:t>及其</w:t>
      </w:r>
      <w:r w:rsidR="00DF12A8" w:rsidRPr="00E9369E">
        <w:rPr>
          <w:rFonts w:ascii="仿宋" w:eastAsia="仿宋" w:hAnsi="仿宋" w:hint="eastAsia"/>
          <w:sz w:val="30"/>
          <w:szCs w:val="30"/>
        </w:rPr>
        <w:t>对产品安全性的影响。</w:t>
      </w:r>
    </w:p>
    <w:p w14:paraId="6BDEB57B" w14:textId="04E85DEB" w:rsidR="002872FD" w:rsidRPr="002872FD" w:rsidRDefault="00A81412" w:rsidP="00354D82">
      <w:pPr>
        <w:pStyle w:val="a7"/>
        <w:tabs>
          <w:tab w:val="left" w:pos="993"/>
        </w:tabs>
        <w:spacing w:line="540" w:lineRule="exact"/>
        <w:ind w:firstLineChars="202" w:firstLine="608"/>
        <w:rPr>
          <w:rFonts w:ascii="仿宋" w:eastAsia="仿宋" w:hAnsi="仿宋"/>
          <w:sz w:val="30"/>
          <w:szCs w:val="30"/>
        </w:rPr>
      </w:pPr>
      <w:r w:rsidRPr="00354D82">
        <w:rPr>
          <w:rFonts w:ascii="仿宋" w:eastAsia="仿宋" w:hAnsi="仿宋" w:hint="eastAsia"/>
          <w:b/>
          <w:sz w:val="30"/>
          <w:szCs w:val="30"/>
        </w:rPr>
        <w:t>其他安全性问题</w:t>
      </w:r>
      <w:r w:rsidR="00354D82">
        <w:rPr>
          <w:rFonts w:ascii="仿宋" w:eastAsia="仿宋" w:hAnsi="仿宋" w:hint="eastAsia"/>
          <w:sz w:val="30"/>
          <w:szCs w:val="30"/>
        </w:rPr>
        <w:t>：</w:t>
      </w:r>
      <w:r w:rsidR="00354D82" w:rsidRPr="00354D82">
        <w:rPr>
          <w:rFonts w:ascii="仿宋" w:eastAsia="仿宋" w:hAnsi="仿宋" w:hint="eastAsia"/>
          <w:sz w:val="30"/>
          <w:szCs w:val="30"/>
        </w:rPr>
        <w:t>药品安全性问题</w:t>
      </w:r>
      <w:r w:rsidR="00354D82">
        <w:rPr>
          <w:rFonts w:ascii="仿宋" w:eastAsia="仿宋" w:hAnsi="仿宋" w:hint="eastAsia"/>
          <w:sz w:val="30"/>
          <w:szCs w:val="30"/>
        </w:rPr>
        <w:t>情况</w:t>
      </w:r>
      <w:r w:rsidR="00354D82" w:rsidRPr="00354D82">
        <w:rPr>
          <w:rFonts w:ascii="仿宋" w:eastAsia="仿宋" w:hAnsi="仿宋" w:hint="eastAsia"/>
          <w:sz w:val="30"/>
          <w:szCs w:val="30"/>
        </w:rPr>
        <w:t>复杂</w:t>
      </w:r>
      <w:r w:rsidR="00354D82">
        <w:rPr>
          <w:rFonts w:ascii="仿宋" w:eastAsia="仿宋" w:hAnsi="仿宋" w:hint="eastAsia"/>
          <w:sz w:val="30"/>
          <w:szCs w:val="30"/>
        </w:rPr>
        <w:t>，评价目标</w:t>
      </w:r>
      <w:r w:rsidR="009C7AAC" w:rsidRPr="00E9369E">
        <w:rPr>
          <w:rFonts w:ascii="仿宋" w:eastAsia="仿宋" w:hAnsi="仿宋" w:hint="eastAsia"/>
          <w:sz w:val="30"/>
          <w:szCs w:val="30"/>
        </w:rPr>
        <w:t>需要根据问题</w:t>
      </w:r>
      <w:r w:rsidR="00CC20C1" w:rsidRPr="00E9369E">
        <w:rPr>
          <w:rFonts w:ascii="仿宋" w:eastAsia="仿宋" w:hAnsi="仿宋" w:hint="eastAsia"/>
          <w:sz w:val="30"/>
          <w:szCs w:val="30"/>
        </w:rPr>
        <w:t>的</w:t>
      </w:r>
      <w:r w:rsidR="00065EEE" w:rsidRPr="00E9369E">
        <w:rPr>
          <w:rFonts w:ascii="仿宋" w:eastAsia="仿宋" w:hAnsi="仿宋" w:hint="eastAsia"/>
          <w:sz w:val="30"/>
          <w:szCs w:val="30"/>
        </w:rPr>
        <w:t>性质</w:t>
      </w:r>
      <w:r w:rsidR="009044CE">
        <w:rPr>
          <w:rFonts w:ascii="仿宋" w:eastAsia="仿宋" w:hAnsi="仿宋" w:hint="eastAsia"/>
          <w:sz w:val="30"/>
          <w:szCs w:val="30"/>
        </w:rPr>
        <w:t>和</w:t>
      </w:r>
      <w:r w:rsidR="009C7AAC" w:rsidRPr="00E9369E">
        <w:rPr>
          <w:rFonts w:ascii="仿宋" w:eastAsia="仿宋" w:hAnsi="仿宋" w:hint="eastAsia"/>
          <w:sz w:val="30"/>
          <w:szCs w:val="30"/>
        </w:rPr>
        <w:t>内容</w:t>
      </w:r>
      <w:r w:rsidR="00A25371">
        <w:rPr>
          <w:rFonts w:ascii="仿宋" w:eastAsia="仿宋" w:hAnsi="仿宋" w:hint="eastAsia"/>
          <w:sz w:val="30"/>
          <w:szCs w:val="30"/>
        </w:rPr>
        <w:t>来确定</w:t>
      </w:r>
      <w:r w:rsidR="00CC20C1" w:rsidRPr="00E9369E">
        <w:rPr>
          <w:rFonts w:ascii="仿宋" w:eastAsia="仿宋" w:hAnsi="仿宋" w:hint="eastAsia"/>
          <w:sz w:val="30"/>
          <w:szCs w:val="30"/>
        </w:rPr>
        <w:t>。</w:t>
      </w:r>
      <w:r w:rsidR="00A25371">
        <w:rPr>
          <w:rFonts w:ascii="仿宋" w:eastAsia="仿宋" w:hAnsi="仿宋" w:hint="eastAsia"/>
          <w:sz w:val="30"/>
          <w:szCs w:val="30"/>
        </w:rPr>
        <w:t>对于监管部门要求开展的评价，建议就评价目标与监管部门进行充分沟通。</w:t>
      </w:r>
    </w:p>
    <w:p w14:paraId="43688B65" w14:textId="5251FB3D" w:rsidR="005B57C0" w:rsidRDefault="007251E8" w:rsidP="00610C76">
      <w:pPr>
        <w:pStyle w:val="a7"/>
        <w:numPr>
          <w:ilvl w:val="0"/>
          <w:numId w:val="18"/>
        </w:numPr>
        <w:spacing w:line="540" w:lineRule="exact"/>
        <w:ind w:firstLineChars="0" w:firstLine="207"/>
        <w:outlineLvl w:val="0"/>
        <w:rPr>
          <w:rFonts w:ascii="黑体" w:eastAsia="黑体" w:hAnsi="黑体"/>
          <w:sz w:val="30"/>
          <w:szCs w:val="30"/>
        </w:rPr>
      </w:pPr>
      <w:bookmarkStart w:id="1" w:name="_Toc177114403"/>
      <w:r>
        <w:rPr>
          <w:rFonts w:ascii="黑体" w:eastAsia="黑体" w:hAnsi="黑体" w:hint="eastAsia"/>
          <w:sz w:val="30"/>
          <w:szCs w:val="30"/>
        </w:rPr>
        <w:t>资料来源</w:t>
      </w:r>
      <w:bookmarkEnd w:id="1"/>
    </w:p>
    <w:p w14:paraId="70614792" w14:textId="664DD04B" w:rsidR="00640352" w:rsidRDefault="002A5760" w:rsidP="000D2287">
      <w:pPr>
        <w:spacing w:line="540" w:lineRule="exact"/>
        <w:ind w:firstLineChars="202" w:firstLine="606"/>
        <w:rPr>
          <w:rFonts w:ascii="仿宋" w:eastAsia="仿宋" w:hAnsi="仿宋"/>
          <w:sz w:val="30"/>
          <w:szCs w:val="30"/>
        </w:rPr>
      </w:pPr>
      <w:r w:rsidRPr="00D23932">
        <w:rPr>
          <w:rFonts w:ascii="仿宋" w:eastAsia="仿宋" w:hAnsi="仿宋" w:hint="eastAsia"/>
          <w:sz w:val="30"/>
          <w:szCs w:val="30"/>
        </w:rPr>
        <w:t>评价人员应当尽可能广泛地收集信息和证据</w:t>
      </w:r>
      <w:r w:rsidR="00B22C1C">
        <w:rPr>
          <w:rFonts w:ascii="仿宋" w:eastAsia="仿宋" w:hAnsi="仿宋" w:hint="eastAsia"/>
          <w:sz w:val="30"/>
          <w:szCs w:val="30"/>
        </w:rPr>
        <w:t>资料</w:t>
      </w:r>
      <w:r w:rsidR="008F7F9E">
        <w:rPr>
          <w:rFonts w:ascii="仿宋" w:eastAsia="仿宋" w:hAnsi="仿宋" w:hint="eastAsia"/>
          <w:sz w:val="30"/>
          <w:szCs w:val="30"/>
        </w:rPr>
        <w:t>用以支持评价</w:t>
      </w:r>
      <w:r w:rsidRPr="00D23932">
        <w:rPr>
          <w:rFonts w:ascii="仿宋" w:eastAsia="仿宋" w:hAnsi="仿宋" w:hint="eastAsia"/>
          <w:sz w:val="30"/>
          <w:szCs w:val="30"/>
        </w:rPr>
        <w:t>。</w:t>
      </w:r>
      <w:r w:rsidR="00640352" w:rsidRPr="00D23932">
        <w:rPr>
          <w:rFonts w:ascii="仿宋" w:eastAsia="仿宋" w:hAnsi="仿宋" w:hint="eastAsia"/>
          <w:sz w:val="30"/>
          <w:szCs w:val="30"/>
        </w:rPr>
        <w:t>一般情况下，国内外</w:t>
      </w:r>
      <w:r w:rsidR="00B22C1C">
        <w:rPr>
          <w:rFonts w:ascii="仿宋" w:eastAsia="仿宋" w:hAnsi="仿宋" w:hint="eastAsia"/>
          <w:sz w:val="30"/>
          <w:szCs w:val="30"/>
        </w:rPr>
        <w:t>信息</w:t>
      </w:r>
      <w:r w:rsidR="00640352" w:rsidRPr="00D23932">
        <w:rPr>
          <w:rFonts w:ascii="仿宋" w:eastAsia="仿宋" w:hAnsi="仿宋" w:hint="eastAsia"/>
          <w:sz w:val="30"/>
          <w:szCs w:val="30"/>
        </w:rPr>
        <w:t>资料均应当收集。对于国外暴露的安全性问题，在国内</w:t>
      </w:r>
      <w:r w:rsidR="00B22C1C">
        <w:rPr>
          <w:rFonts w:ascii="仿宋" w:eastAsia="仿宋" w:hAnsi="仿宋" w:hint="eastAsia"/>
          <w:sz w:val="30"/>
          <w:szCs w:val="30"/>
        </w:rPr>
        <w:t>证据</w:t>
      </w:r>
      <w:r w:rsidR="00640352" w:rsidRPr="00D23932">
        <w:rPr>
          <w:rFonts w:ascii="仿宋" w:eastAsia="仿宋" w:hAnsi="仿宋" w:hint="eastAsia"/>
          <w:sz w:val="30"/>
          <w:szCs w:val="30"/>
        </w:rPr>
        <w:t>不足以支持评价且无法明确国内外安全性差异的情况下，可以依据国外证据开展评价。对于药品使用相关的安全性问题，则应侧重于国内使用的安全性证据。</w:t>
      </w:r>
    </w:p>
    <w:p w14:paraId="21B11433" w14:textId="53DA4B98" w:rsidR="006C7F90" w:rsidRDefault="002A5760" w:rsidP="000D2287">
      <w:pPr>
        <w:spacing w:line="540" w:lineRule="exact"/>
        <w:ind w:firstLineChars="202" w:firstLine="606"/>
        <w:rPr>
          <w:rFonts w:ascii="仿宋" w:eastAsia="仿宋" w:hAnsi="仿宋"/>
          <w:sz w:val="30"/>
          <w:szCs w:val="30"/>
        </w:rPr>
      </w:pPr>
      <w:r>
        <w:rPr>
          <w:rFonts w:ascii="仿宋" w:eastAsia="仿宋" w:hAnsi="仿宋" w:hint="eastAsia"/>
          <w:sz w:val="30"/>
          <w:szCs w:val="30"/>
        </w:rPr>
        <w:t>信息和证据资料</w:t>
      </w:r>
      <w:r w:rsidR="008F7F9E">
        <w:rPr>
          <w:rFonts w:ascii="仿宋" w:eastAsia="仿宋" w:hAnsi="仿宋" w:hint="eastAsia"/>
          <w:sz w:val="30"/>
          <w:szCs w:val="30"/>
        </w:rPr>
        <w:t>的主要来源包括</w:t>
      </w:r>
      <w:r w:rsidRPr="00C9339B">
        <w:rPr>
          <w:rFonts w:ascii="仿宋" w:eastAsia="仿宋" w:hAnsi="仿宋" w:hint="eastAsia"/>
          <w:sz w:val="30"/>
          <w:szCs w:val="30"/>
        </w:rPr>
        <w:t>：</w:t>
      </w:r>
      <w:r w:rsidR="008F7F9E">
        <w:rPr>
          <w:rFonts w:ascii="仿宋" w:eastAsia="仿宋" w:hAnsi="仿宋" w:hint="eastAsia"/>
          <w:sz w:val="30"/>
          <w:szCs w:val="30"/>
        </w:rPr>
        <w:t>药物警戒</w:t>
      </w:r>
      <w:r w:rsidRPr="00C9339B">
        <w:rPr>
          <w:rFonts w:ascii="仿宋" w:eastAsia="仿宋" w:hAnsi="仿宋" w:hint="eastAsia"/>
          <w:sz w:val="30"/>
          <w:szCs w:val="30"/>
        </w:rPr>
        <w:t>数据</w:t>
      </w:r>
      <w:r>
        <w:rPr>
          <w:rFonts w:ascii="仿宋" w:eastAsia="仿宋" w:hAnsi="仿宋" w:hint="eastAsia"/>
          <w:sz w:val="30"/>
          <w:szCs w:val="30"/>
        </w:rPr>
        <w:t>库、科学文</w:t>
      </w:r>
      <w:r>
        <w:rPr>
          <w:rFonts w:ascii="仿宋" w:eastAsia="仿宋" w:hAnsi="仿宋" w:hint="eastAsia"/>
          <w:sz w:val="30"/>
          <w:szCs w:val="30"/>
        </w:rPr>
        <w:lastRenderedPageBreak/>
        <w:t>献、研究</w:t>
      </w:r>
      <w:r w:rsidR="008F7F9E">
        <w:rPr>
          <w:rFonts w:ascii="仿宋" w:eastAsia="仿宋" w:hAnsi="仿宋" w:hint="eastAsia"/>
          <w:sz w:val="30"/>
          <w:szCs w:val="30"/>
        </w:rPr>
        <w:t>和</w:t>
      </w:r>
      <w:r>
        <w:rPr>
          <w:rFonts w:ascii="仿宋" w:eastAsia="仿宋" w:hAnsi="仿宋" w:hint="eastAsia"/>
          <w:sz w:val="30"/>
          <w:szCs w:val="30"/>
        </w:rPr>
        <w:t>调查、专家经验、药品说明书</w:t>
      </w:r>
      <w:r w:rsidR="008F7F9E">
        <w:rPr>
          <w:rFonts w:ascii="仿宋" w:eastAsia="仿宋" w:hAnsi="仿宋" w:hint="eastAsia"/>
          <w:sz w:val="30"/>
          <w:szCs w:val="30"/>
        </w:rPr>
        <w:t>、</w:t>
      </w:r>
      <w:r w:rsidR="008F7F9E" w:rsidRPr="008F7F9E">
        <w:rPr>
          <w:rFonts w:ascii="仿宋" w:eastAsia="仿宋" w:hAnsi="仿宋"/>
          <w:sz w:val="30"/>
          <w:szCs w:val="30"/>
        </w:rPr>
        <w:t>监管部门网站</w:t>
      </w:r>
      <w:r w:rsidR="008F7F9E">
        <w:rPr>
          <w:rFonts w:ascii="仿宋" w:eastAsia="仿宋" w:hAnsi="仿宋" w:hint="eastAsia"/>
          <w:sz w:val="30"/>
          <w:szCs w:val="30"/>
        </w:rPr>
        <w:t>等</w:t>
      </w:r>
      <w:r w:rsidRPr="00C9339B">
        <w:rPr>
          <w:rFonts w:ascii="仿宋" w:eastAsia="仿宋" w:hAnsi="仿宋" w:hint="eastAsia"/>
          <w:sz w:val="30"/>
          <w:szCs w:val="30"/>
        </w:rPr>
        <w:t>。</w:t>
      </w:r>
      <w:r w:rsidR="0073760F" w:rsidRPr="0073760F">
        <w:rPr>
          <w:rFonts w:ascii="仿宋" w:eastAsia="仿宋" w:hAnsi="仿宋" w:hint="eastAsia"/>
          <w:sz w:val="30"/>
          <w:szCs w:val="30"/>
        </w:rPr>
        <w:t>评价人员应当在药物警戒工作中注意对评价资源的探索</w:t>
      </w:r>
      <w:r w:rsidR="008F7F9E">
        <w:rPr>
          <w:rFonts w:ascii="仿宋" w:eastAsia="仿宋" w:hAnsi="仿宋" w:hint="eastAsia"/>
          <w:sz w:val="30"/>
          <w:szCs w:val="30"/>
        </w:rPr>
        <w:t>和</w:t>
      </w:r>
      <w:r w:rsidR="0073760F" w:rsidRPr="0073760F">
        <w:rPr>
          <w:rFonts w:ascii="仿宋" w:eastAsia="仿宋" w:hAnsi="仿宋" w:hint="eastAsia"/>
          <w:sz w:val="30"/>
          <w:szCs w:val="30"/>
        </w:rPr>
        <w:t>积累，掌握各类资料的内容、特点、可靠性及获取方法，为评价工作储备</w:t>
      </w:r>
      <w:r w:rsidR="009044CE">
        <w:rPr>
          <w:rFonts w:ascii="仿宋" w:eastAsia="仿宋" w:hAnsi="仿宋" w:hint="eastAsia"/>
          <w:sz w:val="30"/>
          <w:szCs w:val="30"/>
        </w:rPr>
        <w:t>技术资源</w:t>
      </w:r>
      <w:r w:rsidR="0073760F" w:rsidRPr="0073760F">
        <w:rPr>
          <w:rFonts w:ascii="仿宋" w:eastAsia="仿宋" w:hAnsi="仿宋" w:hint="eastAsia"/>
          <w:sz w:val="30"/>
          <w:szCs w:val="30"/>
        </w:rPr>
        <w:t>。</w:t>
      </w:r>
    </w:p>
    <w:p w14:paraId="6B87AC2A" w14:textId="797D6744" w:rsidR="00983428" w:rsidRPr="008D7B7B" w:rsidRDefault="00617F32" w:rsidP="00610C76">
      <w:pPr>
        <w:pStyle w:val="a7"/>
        <w:numPr>
          <w:ilvl w:val="1"/>
          <w:numId w:val="19"/>
        </w:numPr>
        <w:tabs>
          <w:tab w:val="left" w:pos="284"/>
          <w:tab w:val="left" w:pos="709"/>
        </w:tabs>
        <w:spacing w:line="540" w:lineRule="exact"/>
        <w:ind w:firstLineChars="0" w:hanging="5"/>
        <w:outlineLvl w:val="1"/>
        <w:rPr>
          <w:rFonts w:ascii="楷体" w:eastAsia="楷体" w:hAnsi="楷体"/>
          <w:sz w:val="30"/>
          <w:szCs w:val="30"/>
          <w:shd w:val="pct15" w:color="auto" w:fill="FFFFFF"/>
        </w:rPr>
      </w:pPr>
      <w:bookmarkStart w:id="2" w:name="_Toc177114404"/>
      <w:r>
        <w:rPr>
          <w:rFonts w:ascii="楷体" w:eastAsia="楷体" w:hAnsi="楷体" w:hint="eastAsia"/>
          <w:sz w:val="30"/>
          <w:szCs w:val="30"/>
        </w:rPr>
        <w:t>药物警戒</w:t>
      </w:r>
      <w:r w:rsidR="003F1005" w:rsidRPr="008D7B7B">
        <w:rPr>
          <w:rFonts w:ascii="楷体" w:eastAsia="楷体" w:hAnsi="楷体" w:hint="eastAsia"/>
          <w:sz w:val="30"/>
          <w:szCs w:val="30"/>
        </w:rPr>
        <w:t>数据库</w:t>
      </w:r>
      <w:bookmarkEnd w:id="2"/>
    </w:p>
    <w:p w14:paraId="3CA621D2" w14:textId="752FA445" w:rsidR="00B74C3B" w:rsidRDefault="005B41D2" w:rsidP="000B7C72">
      <w:pPr>
        <w:spacing w:line="540" w:lineRule="exact"/>
        <w:ind w:firstLineChars="202" w:firstLine="606"/>
        <w:rPr>
          <w:rFonts w:ascii="仿宋" w:eastAsia="仿宋" w:hAnsi="仿宋"/>
          <w:sz w:val="30"/>
          <w:szCs w:val="30"/>
        </w:rPr>
      </w:pPr>
      <w:r w:rsidRPr="005B41D2">
        <w:rPr>
          <w:rFonts w:ascii="仿宋" w:eastAsia="仿宋" w:hAnsi="仿宋" w:hint="eastAsia"/>
          <w:sz w:val="30"/>
          <w:szCs w:val="30"/>
        </w:rPr>
        <w:t>持有人在上市后药物警戒过程中通过自主收集以及接收国家药品不良反应监测系统反馈的疑似不良反应报告而形成的数据库</w:t>
      </w:r>
      <w:r w:rsidR="009044CE">
        <w:rPr>
          <w:rFonts w:ascii="仿宋" w:eastAsia="仿宋" w:hAnsi="仿宋" w:hint="eastAsia"/>
          <w:sz w:val="30"/>
          <w:szCs w:val="30"/>
        </w:rPr>
        <w:t>（以下简称“药物警戒数据库”）</w:t>
      </w:r>
      <w:r w:rsidRPr="005B41D2">
        <w:rPr>
          <w:rFonts w:ascii="仿宋" w:eastAsia="仿宋" w:hAnsi="仿宋" w:hint="eastAsia"/>
          <w:sz w:val="30"/>
          <w:szCs w:val="30"/>
        </w:rPr>
        <w:t>是</w:t>
      </w:r>
      <w:r w:rsidR="008D7B7B">
        <w:rPr>
          <w:rFonts w:ascii="仿宋" w:eastAsia="仿宋" w:hAnsi="仿宋" w:hint="eastAsia"/>
          <w:sz w:val="30"/>
          <w:szCs w:val="30"/>
        </w:rPr>
        <w:t>上市后</w:t>
      </w:r>
      <w:r w:rsidRPr="005B41D2">
        <w:rPr>
          <w:rFonts w:ascii="仿宋" w:eastAsia="仿宋" w:hAnsi="仿宋" w:hint="eastAsia"/>
          <w:sz w:val="30"/>
          <w:szCs w:val="30"/>
        </w:rPr>
        <w:t>安全性评</w:t>
      </w:r>
      <w:r w:rsidR="003F1005">
        <w:rPr>
          <w:rFonts w:ascii="仿宋" w:eastAsia="仿宋" w:hAnsi="仿宋" w:hint="eastAsia"/>
          <w:sz w:val="30"/>
          <w:szCs w:val="30"/>
        </w:rPr>
        <w:t>价</w:t>
      </w:r>
      <w:r w:rsidR="00C21131">
        <w:rPr>
          <w:rFonts w:ascii="仿宋" w:eastAsia="仿宋" w:hAnsi="仿宋" w:hint="eastAsia"/>
          <w:sz w:val="30"/>
          <w:szCs w:val="30"/>
        </w:rPr>
        <w:t>的</w:t>
      </w:r>
      <w:r w:rsidR="00050C7D">
        <w:rPr>
          <w:rFonts w:ascii="仿宋" w:eastAsia="仿宋" w:hAnsi="仿宋" w:hint="eastAsia"/>
          <w:sz w:val="30"/>
          <w:szCs w:val="30"/>
        </w:rPr>
        <w:t>基础</w:t>
      </w:r>
      <w:r w:rsidRPr="005B41D2">
        <w:rPr>
          <w:rFonts w:ascii="仿宋" w:eastAsia="仿宋" w:hAnsi="仿宋" w:hint="eastAsia"/>
          <w:sz w:val="30"/>
          <w:szCs w:val="30"/>
        </w:rPr>
        <w:t>。必要时，</w:t>
      </w:r>
      <w:r w:rsidR="00D20F3B">
        <w:rPr>
          <w:rFonts w:ascii="仿宋" w:eastAsia="仿宋" w:hAnsi="仿宋" w:hint="eastAsia"/>
          <w:sz w:val="30"/>
          <w:szCs w:val="30"/>
        </w:rPr>
        <w:t>上市前</w:t>
      </w:r>
      <w:r w:rsidR="00006CBE">
        <w:rPr>
          <w:rFonts w:ascii="仿宋" w:eastAsia="仿宋" w:hAnsi="仿宋" w:hint="eastAsia"/>
          <w:sz w:val="30"/>
          <w:szCs w:val="30"/>
        </w:rPr>
        <w:t>药物警戒中</w:t>
      </w:r>
      <w:r w:rsidRPr="005B41D2">
        <w:rPr>
          <w:rFonts w:ascii="仿宋" w:eastAsia="仿宋" w:hAnsi="仿宋" w:hint="eastAsia"/>
          <w:sz w:val="30"/>
          <w:szCs w:val="30"/>
        </w:rPr>
        <w:t>收集的病例资料</w:t>
      </w:r>
      <w:r w:rsidR="00272089">
        <w:rPr>
          <w:rFonts w:ascii="仿宋" w:eastAsia="仿宋" w:hAnsi="仿宋" w:hint="eastAsia"/>
          <w:sz w:val="30"/>
          <w:szCs w:val="30"/>
        </w:rPr>
        <w:t>、</w:t>
      </w:r>
      <w:r w:rsidRPr="005B41D2">
        <w:rPr>
          <w:rFonts w:ascii="仿宋" w:eastAsia="仿宋" w:hAnsi="仿宋" w:hint="eastAsia"/>
          <w:sz w:val="30"/>
          <w:szCs w:val="30"/>
        </w:rPr>
        <w:t>国</w:t>
      </w:r>
      <w:r w:rsidR="00D20F3B">
        <w:rPr>
          <w:rFonts w:ascii="仿宋" w:eastAsia="仿宋" w:hAnsi="仿宋" w:hint="eastAsia"/>
          <w:sz w:val="30"/>
          <w:szCs w:val="30"/>
        </w:rPr>
        <w:t>外</w:t>
      </w:r>
      <w:r w:rsidRPr="005B41D2">
        <w:rPr>
          <w:rFonts w:ascii="仿宋" w:eastAsia="仿宋" w:hAnsi="仿宋" w:hint="eastAsia"/>
          <w:sz w:val="30"/>
          <w:szCs w:val="30"/>
        </w:rPr>
        <w:t>监管部门公开的</w:t>
      </w:r>
      <w:r w:rsidR="00D20F3B">
        <w:rPr>
          <w:rFonts w:ascii="仿宋" w:eastAsia="仿宋" w:hAnsi="仿宋" w:hint="eastAsia"/>
          <w:sz w:val="30"/>
          <w:szCs w:val="30"/>
        </w:rPr>
        <w:t>不良反应</w:t>
      </w:r>
      <w:r w:rsidR="002A5760">
        <w:rPr>
          <w:rFonts w:ascii="仿宋" w:eastAsia="仿宋" w:hAnsi="仿宋" w:hint="eastAsia"/>
          <w:sz w:val="30"/>
          <w:szCs w:val="30"/>
        </w:rPr>
        <w:t>/事件</w:t>
      </w:r>
      <w:r w:rsidR="00D20F3B">
        <w:rPr>
          <w:rFonts w:ascii="仿宋" w:eastAsia="仿宋" w:hAnsi="仿宋" w:hint="eastAsia"/>
          <w:sz w:val="30"/>
          <w:szCs w:val="30"/>
        </w:rPr>
        <w:t>报告</w:t>
      </w:r>
      <w:r w:rsidRPr="005B41D2">
        <w:rPr>
          <w:rFonts w:ascii="仿宋" w:eastAsia="仿宋" w:hAnsi="仿宋" w:hint="eastAsia"/>
          <w:sz w:val="30"/>
          <w:szCs w:val="30"/>
        </w:rPr>
        <w:t>数据库</w:t>
      </w:r>
      <w:r w:rsidR="00514BF9">
        <w:rPr>
          <w:rFonts w:ascii="仿宋" w:eastAsia="仿宋" w:hAnsi="仿宋" w:hint="eastAsia"/>
          <w:sz w:val="30"/>
          <w:szCs w:val="30"/>
        </w:rPr>
        <w:t>（如乌普萨拉中心</w:t>
      </w:r>
      <w:proofErr w:type="spellStart"/>
      <w:r w:rsidR="00514BF9" w:rsidRPr="00514BF9">
        <w:rPr>
          <w:rFonts w:ascii="仿宋" w:eastAsia="仿宋" w:hAnsi="仿宋"/>
          <w:sz w:val="30"/>
          <w:szCs w:val="30"/>
        </w:rPr>
        <w:t>VigiBase</w:t>
      </w:r>
      <w:proofErr w:type="spellEnd"/>
      <w:r w:rsidR="00514BF9">
        <w:rPr>
          <w:rFonts w:ascii="仿宋" w:eastAsia="仿宋" w:hAnsi="仿宋" w:hint="eastAsia"/>
          <w:sz w:val="30"/>
          <w:szCs w:val="30"/>
        </w:rPr>
        <w:t>数据库</w:t>
      </w:r>
      <w:r w:rsidR="00B22C1C">
        <w:rPr>
          <w:rFonts w:ascii="仿宋" w:eastAsia="仿宋" w:hAnsi="仿宋" w:hint="eastAsia"/>
          <w:sz w:val="30"/>
          <w:szCs w:val="30"/>
        </w:rPr>
        <w:t>、</w:t>
      </w:r>
      <w:r w:rsidR="00514BF9">
        <w:rPr>
          <w:rFonts w:ascii="仿宋" w:eastAsia="仿宋" w:hAnsi="仿宋" w:hint="eastAsia"/>
          <w:sz w:val="30"/>
          <w:szCs w:val="30"/>
        </w:rPr>
        <w:t>美国食品药品管理局</w:t>
      </w:r>
      <w:r w:rsidR="00514BF9" w:rsidRPr="00514BF9">
        <w:rPr>
          <w:rFonts w:ascii="仿宋" w:eastAsia="仿宋" w:hAnsi="仿宋"/>
          <w:sz w:val="30"/>
          <w:szCs w:val="30"/>
        </w:rPr>
        <w:t>FAERS</w:t>
      </w:r>
      <w:r w:rsidR="00514BF9">
        <w:rPr>
          <w:rFonts w:ascii="仿宋" w:eastAsia="仿宋" w:hAnsi="仿宋" w:hint="eastAsia"/>
          <w:sz w:val="30"/>
          <w:szCs w:val="30"/>
        </w:rPr>
        <w:t>数据</w:t>
      </w:r>
      <w:r w:rsidR="00B22C1C">
        <w:rPr>
          <w:rFonts w:ascii="仿宋" w:eastAsia="仿宋" w:hAnsi="仿宋" w:hint="eastAsia"/>
          <w:sz w:val="30"/>
          <w:szCs w:val="30"/>
        </w:rPr>
        <w:t>、</w:t>
      </w:r>
      <w:r w:rsidR="00514BF9">
        <w:rPr>
          <w:rFonts w:ascii="仿宋" w:eastAsia="仿宋" w:hAnsi="仿宋" w:hint="eastAsia"/>
          <w:sz w:val="30"/>
          <w:szCs w:val="30"/>
        </w:rPr>
        <w:t>欧盟</w:t>
      </w:r>
      <w:proofErr w:type="spellStart"/>
      <w:r w:rsidR="00514BF9" w:rsidRPr="00514BF9">
        <w:rPr>
          <w:rFonts w:ascii="仿宋" w:eastAsia="仿宋" w:hAnsi="仿宋"/>
          <w:sz w:val="30"/>
          <w:szCs w:val="30"/>
        </w:rPr>
        <w:t>EudraVigilance</w:t>
      </w:r>
      <w:proofErr w:type="spellEnd"/>
      <w:r w:rsidR="00514BF9" w:rsidRPr="00514BF9">
        <w:rPr>
          <w:rFonts w:ascii="仿宋" w:eastAsia="仿宋" w:hAnsi="仿宋"/>
          <w:sz w:val="30"/>
          <w:szCs w:val="30"/>
        </w:rPr>
        <w:t>数据</w:t>
      </w:r>
      <w:r w:rsidR="00711107">
        <w:rPr>
          <w:rFonts w:ascii="仿宋" w:eastAsia="仿宋" w:hAnsi="仿宋" w:hint="eastAsia"/>
          <w:sz w:val="30"/>
          <w:szCs w:val="30"/>
        </w:rPr>
        <w:t>库</w:t>
      </w:r>
      <w:r w:rsidR="00514BF9">
        <w:rPr>
          <w:rFonts w:ascii="仿宋" w:eastAsia="仿宋" w:hAnsi="仿宋" w:hint="eastAsia"/>
          <w:sz w:val="30"/>
          <w:szCs w:val="30"/>
        </w:rPr>
        <w:t>）</w:t>
      </w:r>
      <w:r w:rsidRPr="005B41D2">
        <w:rPr>
          <w:rFonts w:ascii="仿宋" w:eastAsia="仿宋" w:hAnsi="仿宋" w:hint="eastAsia"/>
          <w:sz w:val="30"/>
          <w:szCs w:val="30"/>
        </w:rPr>
        <w:t>也可以</w:t>
      </w:r>
      <w:r w:rsidR="00272089">
        <w:rPr>
          <w:rFonts w:ascii="仿宋" w:eastAsia="仿宋" w:hAnsi="仿宋" w:hint="eastAsia"/>
          <w:sz w:val="30"/>
          <w:szCs w:val="30"/>
        </w:rPr>
        <w:t>用于评价。</w:t>
      </w:r>
    </w:p>
    <w:p w14:paraId="58A11F65" w14:textId="6B782AB7" w:rsidR="00BA5332" w:rsidRDefault="00BA5332" w:rsidP="00BA5332">
      <w:pPr>
        <w:spacing w:line="540" w:lineRule="exact"/>
        <w:ind w:firstLineChars="202" w:firstLine="606"/>
        <w:rPr>
          <w:rFonts w:ascii="仿宋" w:eastAsia="仿宋" w:hAnsi="仿宋"/>
          <w:sz w:val="30"/>
          <w:szCs w:val="30"/>
        </w:rPr>
      </w:pPr>
      <w:r w:rsidRPr="00BA5332">
        <w:rPr>
          <w:rFonts w:ascii="仿宋" w:eastAsia="仿宋" w:hAnsi="仿宋" w:hint="eastAsia"/>
          <w:sz w:val="30"/>
          <w:szCs w:val="30"/>
        </w:rPr>
        <w:t>在有</w:t>
      </w:r>
      <w:proofErr w:type="gramStart"/>
      <w:r w:rsidRPr="00BA5332">
        <w:rPr>
          <w:rFonts w:ascii="仿宋" w:eastAsia="仿宋" w:hAnsi="仿宋" w:hint="eastAsia"/>
          <w:sz w:val="30"/>
          <w:szCs w:val="30"/>
        </w:rPr>
        <w:t>因评价</w:t>
      </w:r>
      <w:proofErr w:type="gramEnd"/>
      <w:r w:rsidRPr="00BA5332">
        <w:rPr>
          <w:rFonts w:ascii="仿宋" w:eastAsia="仿宋" w:hAnsi="仿宋" w:hint="eastAsia"/>
          <w:sz w:val="30"/>
          <w:szCs w:val="30"/>
        </w:rPr>
        <w:t>中，</w:t>
      </w:r>
      <w:proofErr w:type="gramStart"/>
      <w:r w:rsidR="00DF47F9">
        <w:rPr>
          <w:rFonts w:ascii="仿宋" w:eastAsia="仿宋" w:hAnsi="仿宋" w:hint="eastAsia"/>
          <w:sz w:val="30"/>
          <w:szCs w:val="30"/>
        </w:rPr>
        <w:t>个例报告</w:t>
      </w:r>
      <w:proofErr w:type="gramEnd"/>
      <w:r w:rsidRPr="00BA5332">
        <w:rPr>
          <w:rFonts w:ascii="仿宋" w:eastAsia="仿宋" w:hAnsi="仿宋"/>
          <w:sz w:val="30"/>
          <w:szCs w:val="30"/>
        </w:rPr>
        <w:t>的分析主要聚焦于安全性问题相关病例</w:t>
      </w:r>
      <w:r>
        <w:rPr>
          <w:rFonts w:ascii="仿宋" w:eastAsia="仿宋" w:hAnsi="仿宋" w:hint="eastAsia"/>
          <w:sz w:val="30"/>
          <w:szCs w:val="30"/>
        </w:rPr>
        <w:t>（以下简称</w:t>
      </w:r>
      <w:r w:rsidR="00B22C1C">
        <w:rPr>
          <w:rFonts w:ascii="仿宋" w:eastAsia="仿宋" w:hAnsi="仿宋" w:hint="eastAsia"/>
          <w:sz w:val="30"/>
          <w:szCs w:val="30"/>
        </w:rPr>
        <w:t>“</w:t>
      </w:r>
      <w:r>
        <w:rPr>
          <w:rFonts w:ascii="仿宋" w:eastAsia="仿宋" w:hAnsi="仿宋" w:hint="eastAsia"/>
          <w:sz w:val="30"/>
          <w:szCs w:val="30"/>
        </w:rPr>
        <w:t>关注病例</w:t>
      </w:r>
      <w:r w:rsidR="00B22C1C">
        <w:rPr>
          <w:rFonts w:ascii="仿宋" w:eastAsia="仿宋" w:hAnsi="仿宋" w:hint="eastAsia"/>
          <w:sz w:val="30"/>
          <w:szCs w:val="30"/>
        </w:rPr>
        <w:t>”</w:t>
      </w:r>
      <w:r>
        <w:rPr>
          <w:rFonts w:ascii="仿宋" w:eastAsia="仿宋" w:hAnsi="仿宋" w:hint="eastAsia"/>
          <w:sz w:val="30"/>
          <w:szCs w:val="30"/>
        </w:rPr>
        <w:t>）</w:t>
      </w:r>
      <w:r w:rsidRPr="00BA5332">
        <w:rPr>
          <w:rFonts w:ascii="仿宋" w:eastAsia="仿宋" w:hAnsi="仿宋"/>
          <w:sz w:val="30"/>
          <w:szCs w:val="30"/>
        </w:rPr>
        <w:t>，</w:t>
      </w:r>
      <w:r>
        <w:rPr>
          <w:rFonts w:ascii="仿宋" w:eastAsia="仿宋" w:hAnsi="仿宋" w:hint="eastAsia"/>
          <w:sz w:val="30"/>
          <w:szCs w:val="30"/>
        </w:rPr>
        <w:t>因此应当对</w:t>
      </w:r>
      <w:r w:rsidR="00A55569">
        <w:rPr>
          <w:rFonts w:ascii="仿宋" w:eastAsia="仿宋" w:hAnsi="仿宋" w:hint="eastAsia"/>
          <w:sz w:val="30"/>
          <w:szCs w:val="30"/>
        </w:rPr>
        <w:t>关注病例进行</w:t>
      </w:r>
      <w:r w:rsidR="000140A3">
        <w:rPr>
          <w:rFonts w:ascii="仿宋" w:eastAsia="仿宋" w:hAnsi="仿宋" w:hint="eastAsia"/>
          <w:sz w:val="30"/>
          <w:szCs w:val="30"/>
        </w:rPr>
        <w:t>全面</w:t>
      </w:r>
      <w:r w:rsidR="00A55569">
        <w:rPr>
          <w:rFonts w:ascii="仿宋" w:eastAsia="仿宋" w:hAnsi="仿宋" w:hint="eastAsia"/>
          <w:sz w:val="30"/>
          <w:szCs w:val="30"/>
        </w:rPr>
        <w:t>检索</w:t>
      </w:r>
      <w:r w:rsidR="00B22C1C">
        <w:rPr>
          <w:rFonts w:ascii="仿宋" w:eastAsia="仿宋" w:hAnsi="仿宋" w:hint="eastAsia"/>
          <w:sz w:val="30"/>
          <w:szCs w:val="30"/>
        </w:rPr>
        <w:t>和筛选</w:t>
      </w:r>
      <w:r w:rsidR="00A55569">
        <w:rPr>
          <w:rFonts w:ascii="仿宋" w:eastAsia="仿宋" w:hAnsi="仿宋" w:hint="eastAsia"/>
          <w:sz w:val="30"/>
          <w:szCs w:val="30"/>
        </w:rPr>
        <w:t>。</w:t>
      </w:r>
      <w:r w:rsidR="001D7154">
        <w:rPr>
          <w:rFonts w:ascii="仿宋" w:eastAsia="仿宋" w:hAnsi="仿宋" w:hint="eastAsia"/>
          <w:sz w:val="30"/>
          <w:szCs w:val="30"/>
        </w:rPr>
        <w:t>建议</w:t>
      </w:r>
      <w:r w:rsidR="00B22C1C">
        <w:rPr>
          <w:rFonts w:ascii="仿宋" w:eastAsia="仿宋" w:hAnsi="仿宋" w:hint="eastAsia"/>
          <w:sz w:val="30"/>
          <w:szCs w:val="30"/>
        </w:rPr>
        <w:t>尽可能</w:t>
      </w:r>
      <w:r w:rsidRPr="00BA5332">
        <w:rPr>
          <w:rFonts w:ascii="仿宋" w:eastAsia="仿宋" w:hAnsi="仿宋"/>
          <w:sz w:val="30"/>
          <w:szCs w:val="30"/>
        </w:rPr>
        <w:t>采取</w:t>
      </w:r>
      <w:r w:rsidR="00B22C1C">
        <w:rPr>
          <w:rFonts w:ascii="仿宋" w:eastAsia="仿宋" w:hAnsi="仿宋"/>
          <w:sz w:val="30"/>
          <w:szCs w:val="30"/>
        </w:rPr>
        <w:t>宽泛检索策略</w:t>
      </w:r>
      <w:r w:rsidR="00B22C1C">
        <w:rPr>
          <w:rFonts w:ascii="仿宋" w:eastAsia="仿宋" w:hAnsi="仿宋" w:hint="eastAsia"/>
          <w:sz w:val="30"/>
          <w:szCs w:val="30"/>
        </w:rPr>
        <w:t>，</w:t>
      </w:r>
      <w:r w:rsidR="000140A3">
        <w:rPr>
          <w:rFonts w:ascii="仿宋" w:eastAsia="仿宋" w:hAnsi="仿宋" w:hint="eastAsia"/>
          <w:sz w:val="30"/>
          <w:szCs w:val="30"/>
        </w:rPr>
        <w:t>例如</w:t>
      </w:r>
      <w:r w:rsidR="001D7154">
        <w:rPr>
          <w:rFonts w:ascii="仿宋" w:eastAsia="仿宋" w:hAnsi="仿宋" w:hint="eastAsia"/>
          <w:sz w:val="30"/>
          <w:szCs w:val="30"/>
        </w:rPr>
        <w:t>检索</w:t>
      </w:r>
      <w:r w:rsidRPr="00BA5332">
        <w:rPr>
          <w:rFonts w:ascii="仿宋" w:eastAsia="仿宋" w:hAnsi="仿宋"/>
          <w:sz w:val="30"/>
          <w:szCs w:val="30"/>
        </w:rPr>
        <w:t>“粒细胞缺乏”</w:t>
      </w:r>
      <w:r w:rsidR="000140A3">
        <w:rPr>
          <w:rFonts w:ascii="仿宋" w:eastAsia="仿宋" w:hAnsi="仿宋" w:hint="eastAsia"/>
          <w:sz w:val="30"/>
          <w:szCs w:val="30"/>
        </w:rPr>
        <w:t>病例</w:t>
      </w:r>
      <w:r w:rsidRPr="00BA5332">
        <w:rPr>
          <w:rFonts w:ascii="仿宋" w:eastAsia="仿宋" w:hAnsi="仿宋"/>
          <w:sz w:val="30"/>
          <w:szCs w:val="30"/>
        </w:rPr>
        <w:t>，除了使用“粒细胞缺乏”</w:t>
      </w:r>
      <w:r w:rsidR="001D7154">
        <w:rPr>
          <w:rFonts w:ascii="仿宋" w:eastAsia="仿宋" w:hAnsi="仿宋" w:hint="eastAsia"/>
          <w:sz w:val="30"/>
          <w:szCs w:val="30"/>
        </w:rPr>
        <w:t>作为检索词外，</w:t>
      </w:r>
      <w:r w:rsidR="001D7154" w:rsidRPr="00BA5332">
        <w:rPr>
          <w:rFonts w:ascii="仿宋" w:eastAsia="仿宋" w:hAnsi="仿宋"/>
          <w:sz w:val="30"/>
          <w:szCs w:val="30"/>
        </w:rPr>
        <w:t>还</w:t>
      </w:r>
      <w:r w:rsidR="001D7154">
        <w:rPr>
          <w:rFonts w:ascii="仿宋" w:eastAsia="仿宋" w:hAnsi="仿宋" w:hint="eastAsia"/>
          <w:sz w:val="30"/>
          <w:szCs w:val="30"/>
        </w:rPr>
        <w:t>可能</w:t>
      </w:r>
      <w:r w:rsidRPr="00BA5332">
        <w:rPr>
          <w:rFonts w:ascii="仿宋" w:eastAsia="仿宋" w:hAnsi="仿宋"/>
          <w:sz w:val="30"/>
          <w:szCs w:val="30"/>
        </w:rPr>
        <w:t>需</w:t>
      </w:r>
      <w:r w:rsidR="001D7154">
        <w:rPr>
          <w:rFonts w:ascii="仿宋" w:eastAsia="仿宋" w:hAnsi="仿宋" w:hint="eastAsia"/>
          <w:sz w:val="30"/>
          <w:szCs w:val="30"/>
        </w:rPr>
        <w:t>使用</w:t>
      </w:r>
      <w:r w:rsidR="001D7154" w:rsidRPr="00BA5332">
        <w:rPr>
          <w:rFonts w:ascii="仿宋" w:eastAsia="仿宋" w:hAnsi="仿宋"/>
          <w:sz w:val="30"/>
          <w:szCs w:val="30"/>
        </w:rPr>
        <w:t xml:space="preserve"> </w:t>
      </w:r>
      <w:r w:rsidRPr="00BA5332">
        <w:rPr>
          <w:rFonts w:ascii="仿宋" w:eastAsia="仿宋" w:hAnsi="仿宋"/>
          <w:sz w:val="30"/>
          <w:szCs w:val="30"/>
        </w:rPr>
        <w:t>“白细胞减少”“白细胞降低”等</w:t>
      </w:r>
      <w:r w:rsidR="001D7154">
        <w:rPr>
          <w:rFonts w:ascii="仿宋" w:eastAsia="仿宋" w:hAnsi="仿宋" w:hint="eastAsia"/>
          <w:sz w:val="30"/>
          <w:szCs w:val="30"/>
        </w:rPr>
        <w:t>相关术语来</w:t>
      </w:r>
      <w:r w:rsidRPr="00BA5332">
        <w:rPr>
          <w:rFonts w:ascii="仿宋" w:eastAsia="仿宋" w:hAnsi="仿宋"/>
          <w:sz w:val="30"/>
          <w:szCs w:val="30"/>
        </w:rPr>
        <w:t>检索</w:t>
      </w:r>
      <w:r w:rsidR="001D7154">
        <w:rPr>
          <w:rFonts w:ascii="仿宋" w:eastAsia="仿宋" w:hAnsi="仿宋" w:hint="eastAsia"/>
          <w:sz w:val="30"/>
          <w:szCs w:val="30"/>
        </w:rPr>
        <w:t>和筛选病例</w:t>
      </w:r>
      <w:r w:rsidRPr="00BA5332">
        <w:rPr>
          <w:rFonts w:ascii="仿宋" w:eastAsia="仿宋" w:hAnsi="仿宋"/>
          <w:sz w:val="30"/>
          <w:szCs w:val="30"/>
        </w:rPr>
        <w:t>。可参考</w:t>
      </w:r>
      <w:r w:rsidR="00B94D43">
        <w:rPr>
          <w:rFonts w:ascii="仿宋" w:eastAsia="仿宋" w:hAnsi="仿宋" w:hint="eastAsia"/>
          <w:sz w:val="30"/>
          <w:szCs w:val="30"/>
        </w:rPr>
        <w:t>标准</w:t>
      </w:r>
      <w:proofErr w:type="spellStart"/>
      <w:r w:rsidRPr="00BA5332">
        <w:rPr>
          <w:rFonts w:ascii="仿宋" w:eastAsia="仿宋" w:hAnsi="仿宋"/>
          <w:sz w:val="30"/>
          <w:szCs w:val="30"/>
        </w:rPr>
        <w:t>MedDRA</w:t>
      </w:r>
      <w:proofErr w:type="spellEnd"/>
      <w:r w:rsidR="008D2DBF">
        <w:rPr>
          <w:rFonts w:ascii="仿宋" w:eastAsia="仿宋" w:hAnsi="仿宋" w:hint="eastAsia"/>
          <w:sz w:val="30"/>
          <w:szCs w:val="30"/>
        </w:rPr>
        <w:t>查询（</w:t>
      </w:r>
      <w:r w:rsidRPr="00BA5332">
        <w:rPr>
          <w:rFonts w:ascii="仿宋" w:eastAsia="仿宋" w:hAnsi="仿宋"/>
          <w:sz w:val="30"/>
          <w:szCs w:val="30"/>
        </w:rPr>
        <w:t>SMQ</w:t>
      </w:r>
      <w:r w:rsidR="00B94D43">
        <w:rPr>
          <w:rFonts w:ascii="仿宋" w:eastAsia="仿宋" w:hAnsi="仿宋" w:hint="eastAsia"/>
          <w:sz w:val="30"/>
          <w:szCs w:val="30"/>
        </w:rPr>
        <w:t>s</w:t>
      </w:r>
      <w:r w:rsidR="008D2DBF">
        <w:rPr>
          <w:rFonts w:ascii="仿宋" w:eastAsia="仿宋" w:hAnsi="仿宋" w:hint="eastAsia"/>
          <w:sz w:val="30"/>
          <w:szCs w:val="30"/>
        </w:rPr>
        <w:t>）</w:t>
      </w:r>
      <w:r w:rsidR="00B94D43">
        <w:rPr>
          <w:rStyle w:val="af6"/>
          <w:rFonts w:ascii="仿宋" w:eastAsia="仿宋" w:hAnsi="仿宋"/>
          <w:sz w:val="30"/>
          <w:szCs w:val="30"/>
        </w:rPr>
        <w:footnoteReference w:id="1"/>
      </w:r>
      <w:r w:rsidRPr="00BA5332">
        <w:rPr>
          <w:rFonts w:ascii="仿宋" w:eastAsia="仿宋" w:hAnsi="仿宋"/>
          <w:sz w:val="30"/>
          <w:szCs w:val="30"/>
        </w:rPr>
        <w:t>来制定检索策略。病例筛选</w:t>
      </w:r>
      <w:r w:rsidR="000140A3">
        <w:rPr>
          <w:rFonts w:ascii="仿宋" w:eastAsia="仿宋" w:hAnsi="仿宋" w:hint="eastAsia"/>
          <w:sz w:val="30"/>
          <w:szCs w:val="30"/>
        </w:rPr>
        <w:t>应</w:t>
      </w:r>
      <w:r w:rsidRPr="00BA5332">
        <w:rPr>
          <w:rFonts w:ascii="仿宋" w:eastAsia="仿宋" w:hAnsi="仿宋"/>
          <w:sz w:val="30"/>
          <w:szCs w:val="30"/>
        </w:rPr>
        <w:t>考虑自发报告的局限性，不</w:t>
      </w:r>
      <w:r>
        <w:rPr>
          <w:rFonts w:ascii="仿宋" w:eastAsia="仿宋" w:hAnsi="仿宋" w:hint="eastAsia"/>
          <w:sz w:val="30"/>
          <w:szCs w:val="30"/>
        </w:rPr>
        <w:t>应</w:t>
      </w:r>
      <w:r w:rsidRPr="00BA5332">
        <w:rPr>
          <w:rFonts w:ascii="仿宋" w:eastAsia="仿宋" w:hAnsi="仿宋"/>
          <w:sz w:val="30"/>
          <w:szCs w:val="30"/>
        </w:rPr>
        <w:t>以信息缺失为由将可能相关的病例</w:t>
      </w:r>
      <w:r w:rsidR="008D2DBF">
        <w:rPr>
          <w:rFonts w:ascii="仿宋" w:eastAsia="仿宋" w:hAnsi="仿宋" w:hint="eastAsia"/>
          <w:sz w:val="30"/>
          <w:szCs w:val="30"/>
        </w:rPr>
        <w:t>一概剔除。对于资料</w:t>
      </w:r>
      <w:r w:rsidRPr="00BA5332">
        <w:rPr>
          <w:rFonts w:ascii="仿宋" w:eastAsia="仿宋" w:hAnsi="仿宋" w:hint="eastAsia"/>
          <w:sz w:val="30"/>
          <w:szCs w:val="30"/>
        </w:rPr>
        <w:t>不全的关键病例应尽可能开展调查</w:t>
      </w:r>
      <w:r w:rsidR="008D2DBF">
        <w:rPr>
          <w:rFonts w:ascii="仿宋" w:eastAsia="仿宋" w:hAnsi="仿宋" w:hint="eastAsia"/>
          <w:sz w:val="30"/>
          <w:szCs w:val="30"/>
        </w:rPr>
        <w:t>；</w:t>
      </w:r>
      <w:r w:rsidRPr="00BA5332">
        <w:rPr>
          <w:rFonts w:ascii="仿宋" w:eastAsia="仿宋" w:hAnsi="仿宋" w:hint="eastAsia"/>
          <w:sz w:val="30"/>
          <w:szCs w:val="30"/>
        </w:rPr>
        <w:t>在信息不足</w:t>
      </w:r>
      <w:r w:rsidR="008D2DBF">
        <w:rPr>
          <w:rFonts w:ascii="仿宋" w:eastAsia="仿宋" w:hAnsi="仿宋" w:hint="eastAsia"/>
          <w:sz w:val="30"/>
          <w:szCs w:val="30"/>
        </w:rPr>
        <w:t>的</w:t>
      </w:r>
      <w:r w:rsidRPr="00BA5332">
        <w:rPr>
          <w:rFonts w:ascii="仿宋" w:eastAsia="仿宋" w:hAnsi="仿宋" w:hint="eastAsia"/>
          <w:sz w:val="30"/>
          <w:szCs w:val="30"/>
        </w:rPr>
        <w:t>情况</w:t>
      </w:r>
      <w:r w:rsidR="000140A3">
        <w:rPr>
          <w:rFonts w:ascii="仿宋" w:eastAsia="仿宋" w:hAnsi="仿宋" w:hint="eastAsia"/>
          <w:sz w:val="30"/>
          <w:szCs w:val="30"/>
        </w:rPr>
        <w:t>下</w:t>
      </w:r>
      <w:r w:rsidR="008D2DBF">
        <w:rPr>
          <w:rFonts w:ascii="仿宋" w:eastAsia="仿宋" w:hAnsi="仿宋" w:hint="eastAsia"/>
          <w:sz w:val="30"/>
          <w:szCs w:val="30"/>
        </w:rPr>
        <w:t>，原则上选择信任报告者对不良反应</w:t>
      </w:r>
      <w:r w:rsidRPr="00BA5332">
        <w:rPr>
          <w:rFonts w:ascii="仿宋" w:eastAsia="仿宋" w:hAnsi="仿宋" w:hint="eastAsia"/>
          <w:sz w:val="30"/>
          <w:szCs w:val="30"/>
        </w:rPr>
        <w:t>的判断。</w:t>
      </w:r>
    </w:p>
    <w:p w14:paraId="4C6C3919" w14:textId="5DEE68A4" w:rsidR="00983428" w:rsidRPr="00093589" w:rsidRDefault="00983428" w:rsidP="00610C76">
      <w:pPr>
        <w:pStyle w:val="a7"/>
        <w:numPr>
          <w:ilvl w:val="1"/>
          <w:numId w:val="19"/>
        </w:numPr>
        <w:tabs>
          <w:tab w:val="left" w:pos="709"/>
        </w:tabs>
        <w:spacing w:line="540" w:lineRule="exact"/>
        <w:ind w:firstLineChars="0" w:hanging="5"/>
        <w:outlineLvl w:val="1"/>
        <w:rPr>
          <w:rFonts w:ascii="楷体" w:eastAsia="楷体" w:hAnsi="楷体"/>
          <w:sz w:val="30"/>
          <w:szCs w:val="30"/>
        </w:rPr>
      </w:pPr>
      <w:bookmarkStart w:id="3" w:name="_Toc177114405"/>
      <w:r w:rsidRPr="00093589">
        <w:rPr>
          <w:rFonts w:ascii="楷体" w:eastAsia="楷体" w:hAnsi="楷体" w:hint="eastAsia"/>
          <w:sz w:val="30"/>
          <w:szCs w:val="30"/>
        </w:rPr>
        <w:t>科学文献</w:t>
      </w:r>
      <w:bookmarkEnd w:id="3"/>
      <w:r w:rsidR="00E30E09">
        <w:rPr>
          <w:rFonts w:ascii="楷体" w:eastAsia="楷体" w:hAnsi="楷体" w:hint="eastAsia"/>
          <w:sz w:val="30"/>
          <w:szCs w:val="30"/>
        </w:rPr>
        <w:t xml:space="preserve"> </w:t>
      </w:r>
    </w:p>
    <w:p w14:paraId="110EF8CE" w14:textId="466ADEC4" w:rsidR="00CD7DE6" w:rsidRPr="003E7D26" w:rsidRDefault="00FA3D5D" w:rsidP="00F16968">
      <w:pPr>
        <w:spacing w:line="560" w:lineRule="exact"/>
        <w:ind w:firstLineChars="200" w:firstLine="600"/>
        <w:rPr>
          <w:rFonts w:ascii="仿宋" w:eastAsia="仿宋" w:hAnsi="仿宋"/>
          <w:sz w:val="30"/>
          <w:szCs w:val="30"/>
          <w:shd w:val="pct15" w:color="auto" w:fill="FFFFFF"/>
        </w:rPr>
      </w:pPr>
      <w:r w:rsidRPr="00FA3D5D">
        <w:rPr>
          <w:rFonts w:ascii="仿宋" w:eastAsia="仿宋" w:hAnsi="仿宋" w:hint="eastAsia"/>
          <w:sz w:val="30"/>
          <w:szCs w:val="30"/>
        </w:rPr>
        <w:t>科学文献是</w:t>
      </w:r>
      <w:r w:rsidR="00CF6CD5">
        <w:rPr>
          <w:rFonts w:ascii="仿宋" w:eastAsia="仿宋" w:hAnsi="仿宋" w:hint="eastAsia"/>
          <w:sz w:val="30"/>
          <w:szCs w:val="30"/>
        </w:rPr>
        <w:t>开展上市后评价不可或缺的证据资料，包括公开和未公开发表的国内外学术</w:t>
      </w:r>
      <w:r w:rsidR="00093589">
        <w:rPr>
          <w:rFonts w:ascii="仿宋" w:eastAsia="仿宋" w:hAnsi="仿宋" w:hint="eastAsia"/>
          <w:sz w:val="30"/>
          <w:szCs w:val="30"/>
        </w:rPr>
        <w:t>期刊</w:t>
      </w:r>
      <w:r w:rsidRPr="00FA3D5D">
        <w:rPr>
          <w:rFonts w:ascii="仿宋" w:eastAsia="仿宋" w:hAnsi="仿宋" w:hint="eastAsia"/>
          <w:sz w:val="30"/>
          <w:szCs w:val="30"/>
        </w:rPr>
        <w:t>论文</w:t>
      </w:r>
      <w:r w:rsidRPr="009968FF">
        <w:rPr>
          <w:rFonts w:ascii="仿宋" w:eastAsia="仿宋" w:hAnsi="仿宋" w:hint="eastAsia"/>
          <w:sz w:val="30"/>
          <w:szCs w:val="30"/>
        </w:rPr>
        <w:t>、</w:t>
      </w:r>
      <w:r w:rsidR="00093589" w:rsidRPr="008A4D85">
        <w:rPr>
          <w:rFonts w:ascii="仿宋" w:eastAsia="仿宋" w:hAnsi="仿宋" w:hint="eastAsia"/>
          <w:sz w:val="30"/>
          <w:szCs w:val="30"/>
        </w:rPr>
        <w:t>学位论文、会议</w:t>
      </w:r>
      <w:r w:rsidR="00CF6CD5" w:rsidRPr="008A4D85">
        <w:rPr>
          <w:rFonts w:ascii="仿宋" w:eastAsia="仿宋" w:hAnsi="仿宋" w:hint="eastAsia"/>
          <w:sz w:val="30"/>
          <w:szCs w:val="30"/>
        </w:rPr>
        <w:t>报告</w:t>
      </w:r>
      <w:r w:rsidR="00093589" w:rsidRPr="008A4D85">
        <w:rPr>
          <w:rFonts w:ascii="仿宋" w:eastAsia="仿宋" w:hAnsi="仿宋" w:hint="eastAsia"/>
          <w:sz w:val="30"/>
          <w:szCs w:val="30"/>
        </w:rPr>
        <w:t>、权</w:t>
      </w:r>
      <w:r w:rsidR="00093589" w:rsidRPr="008A4D85">
        <w:rPr>
          <w:rFonts w:ascii="仿宋" w:eastAsia="仿宋" w:hAnsi="仿宋" w:hint="eastAsia"/>
          <w:sz w:val="30"/>
          <w:szCs w:val="30"/>
        </w:rPr>
        <w:lastRenderedPageBreak/>
        <w:t>威出版物</w:t>
      </w:r>
      <w:r w:rsidRPr="008A4D85">
        <w:rPr>
          <w:rFonts w:ascii="仿宋" w:eastAsia="仿宋" w:hAnsi="仿宋" w:hint="eastAsia"/>
          <w:sz w:val="30"/>
          <w:szCs w:val="30"/>
        </w:rPr>
        <w:t>等</w:t>
      </w:r>
      <w:r w:rsidRPr="00FA3D5D">
        <w:rPr>
          <w:rFonts w:ascii="仿宋" w:eastAsia="仿宋" w:hAnsi="仿宋" w:hint="eastAsia"/>
          <w:sz w:val="30"/>
          <w:szCs w:val="30"/>
        </w:rPr>
        <w:t>。</w:t>
      </w:r>
      <w:r w:rsidR="003D72CE">
        <w:rPr>
          <w:rFonts w:ascii="仿宋" w:eastAsia="仿宋" w:hAnsi="仿宋" w:hint="eastAsia"/>
          <w:sz w:val="30"/>
          <w:szCs w:val="30"/>
        </w:rPr>
        <w:t>评估人员</w:t>
      </w:r>
      <w:r w:rsidR="009968FF">
        <w:rPr>
          <w:rFonts w:ascii="仿宋" w:eastAsia="仿宋" w:hAnsi="仿宋" w:hint="eastAsia"/>
          <w:sz w:val="30"/>
          <w:szCs w:val="30"/>
        </w:rPr>
        <w:t>应</w:t>
      </w:r>
      <w:r w:rsidR="003D72CE">
        <w:rPr>
          <w:rFonts w:ascii="仿宋" w:eastAsia="仿宋" w:hAnsi="仿宋" w:hint="eastAsia"/>
          <w:sz w:val="30"/>
          <w:szCs w:val="30"/>
        </w:rPr>
        <w:t>通过检索</w:t>
      </w:r>
      <w:r w:rsidRPr="00FA3D5D">
        <w:rPr>
          <w:rFonts w:ascii="仿宋" w:eastAsia="仿宋" w:hAnsi="仿宋" w:hint="eastAsia"/>
          <w:sz w:val="30"/>
          <w:szCs w:val="30"/>
        </w:rPr>
        <w:t>国内外业界</w:t>
      </w:r>
      <w:r w:rsidR="003D72CE">
        <w:rPr>
          <w:rFonts w:ascii="仿宋" w:eastAsia="仿宋" w:hAnsi="仿宋" w:hint="eastAsia"/>
          <w:sz w:val="30"/>
          <w:szCs w:val="30"/>
        </w:rPr>
        <w:t>公</w:t>
      </w:r>
      <w:r w:rsidRPr="00FA3D5D">
        <w:rPr>
          <w:rFonts w:ascii="仿宋" w:eastAsia="仿宋" w:hAnsi="仿宋" w:hint="eastAsia"/>
          <w:sz w:val="30"/>
          <w:szCs w:val="30"/>
        </w:rPr>
        <w:t>认</w:t>
      </w:r>
      <w:r w:rsidR="003D72CE">
        <w:rPr>
          <w:rFonts w:ascii="仿宋" w:eastAsia="仿宋" w:hAnsi="仿宋" w:hint="eastAsia"/>
          <w:sz w:val="30"/>
          <w:szCs w:val="30"/>
        </w:rPr>
        <w:t>和</w:t>
      </w:r>
      <w:r w:rsidRPr="00FA3D5D">
        <w:rPr>
          <w:rFonts w:ascii="仿宋" w:eastAsia="仿宋" w:hAnsi="仿宋" w:hint="eastAsia"/>
          <w:sz w:val="30"/>
          <w:szCs w:val="30"/>
        </w:rPr>
        <w:t>广泛使用的文献数据库</w:t>
      </w:r>
      <w:r w:rsidR="003D72CE">
        <w:rPr>
          <w:rFonts w:ascii="仿宋" w:eastAsia="仿宋" w:hAnsi="仿宋" w:hint="eastAsia"/>
          <w:sz w:val="30"/>
          <w:szCs w:val="30"/>
        </w:rPr>
        <w:t>来获取</w:t>
      </w:r>
      <w:r w:rsidR="00A027C3">
        <w:rPr>
          <w:rFonts w:ascii="仿宋" w:eastAsia="仿宋" w:hAnsi="仿宋" w:hint="eastAsia"/>
          <w:sz w:val="30"/>
          <w:szCs w:val="30"/>
        </w:rPr>
        <w:t>此类</w:t>
      </w:r>
      <w:r w:rsidR="003D72CE">
        <w:rPr>
          <w:rFonts w:ascii="仿宋" w:eastAsia="仿宋" w:hAnsi="仿宋" w:hint="eastAsia"/>
          <w:sz w:val="30"/>
          <w:szCs w:val="30"/>
        </w:rPr>
        <w:t>资料</w:t>
      </w:r>
      <w:r w:rsidR="00F16968">
        <w:rPr>
          <w:rFonts w:ascii="仿宋" w:eastAsia="仿宋" w:hAnsi="仿宋" w:hint="eastAsia"/>
          <w:sz w:val="30"/>
          <w:szCs w:val="30"/>
        </w:rPr>
        <w:t>,</w:t>
      </w:r>
      <w:r w:rsidR="00F16968" w:rsidRPr="00F16968">
        <w:rPr>
          <w:rFonts w:ascii="仿宋" w:eastAsia="仿宋" w:hAnsi="仿宋" w:hint="eastAsia"/>
          <w:sz w:val="30"/>
          <w:szCs w:val="30"/>
        </w:rPr>
        <w:t>国内外文献均要求至少要同时检索两个数据库。</w:t>
      </w:r>
      <w:r w:rsidRPr="00E70025">
        <w:rPr>
          <w:rFonts w:ascii="仿宋" w:eastAsia="仿宋" w:hAnsi="仿宋" w:hint="eastAsia"/>
          <w:sz w:val="30"/>
          <w:szCs w:val="30"/>
        </w:rPr>
        <w:t>与安全性相关的文献类型</w:t>
      </w:r>
      <w:r w:rsidR="003E7D26">
        <w:rPr>
          <w:rFonts w:ascii="仿宋" w:eastAsia="仿宋" w:hAnsi="仿宋" w:hint="eastAsia"/>
          <w:sz w:val="30"/>
          <w:szCs w:val="30"/>
        </w:rPr>
        <w:t>主要</w:t>
      </w:r>
      <w:r w:rsidRPr="00E70025">
        <w:rPr>
          <w:rFonts w:ascii="仿宋" w:eastAsia="仿宋" w:hAnsi="仿宋" w:hint="eastAsia"/>
          <w:sz w:val="30"/>
          <w:szCs w:val="30"/>
        </w:rPr>
        <w:t>包括：</w:t>
      </w:r>
      <w:r w:rsidR="009968FF">
        <w:rPr>
          <w:rFonts w:ascii="仿宋" w:eastAsia="仿宋" w:hAnsi="仿宋" w:hint="eastAsia"/>
          <w:sz w:val="30"/>
          <w:szCs w:val="30"/>
        </w:rPr>
        <w:t>病</w:t>
      </w:r>
      <w:r w:rsidR="003E015C">
        <w:rPr>
          <w:rFonts w:ascii="仿宋" w:eastAsia="仿宋" w:hAnsi="仿宋" w:hint="eastAsia"/>
          <w:sz w:val="30"/>
          <w:szCs w:val="30"/>
        </w:rPr>
        <w:t>案</w:t>
      </w:r>
      <w:r w:rsidR="00A027C3" w:rsidRPr="008A4D85">
        <w:rPr>
          <w:rFonts w:ascii="仿宋" w:eastAsia="仿宋" w:hAnsi="仿宋" w:hint="eastAsia"/>
          <w:sz w:val="30"/>
          <w:szCs w:val="30"/>
        </w:rPr>
        <w:t>报道</w:t>
      </w:r>
      <w:r w:rsidR="009968FF">
        <w:rPr>
          <w:rFonts w:ascii="仿宋" w:eastAsia="仿宋" w:hAnsi="仿宋" w:hint="eastAsia"/>
          <w:sz w:val="30"/>
          <w:szCs w:val="30"/>
        </w:rPr>
        <w:t>或病</w:t>
      </w:r>
      <w:r w:rsidR="003E015C">
        <w:rPr>
          <w:rFonts w:ascii="仿宋" w:eastAsia="仿宋" w:hAnsi="仿宋" w:hint="eastAsia"/>
          <w:sz w:val="30"/>
          <w:szCs w:val="30"/>
        </w:rPr>
        <w:t>案</w:t>
      </w:r>
      <w:r w:rsidR="009968FF">
        <w:rPr>
          <w:rFonts w:ascii="仿宋" w:eastAsia="仿宋" w:hAnsi="仿宋" w:hint="eastAsia"/>
          <w:sz w:val="30"/>
          <w:szCs w:val="30"/>
        </w:rPr>
        <w:t>系列</w:t>
      </w:r>
      <w:r w:rsidR="00695446">
        <w:rPr>
          <w:rFonts w:ascii="仿宋" w:eastAsia="仿宋" w:hAnsi="仿宋" w:hint="eastAsia"/>
          <w:sz w:val="30"/>
          <w:szCs w:val="30"/>
        </w:rPr>
        <w:t>、</w:t>
      </w:r>
      <w:r w:rsidRPr="008A4D85">
        <w:rPr>
          <w:rFonts w:ascii="仿宋" w:eastAsia="仿宋" w:hAnsi="仿宋" w:hint="eastAsia"/>
          <w:sz w:val="30"/>
          <w:szCs w:val="30"/>
        </w:rPr>
        <w:t>观察</w:t>
      </w:r>
      <w:r w:rsidR="003E7D26" w:rsidRPr="008A4D85">
        <w:rPr>
          <w:rFonts w:ascii="仿宋" w:eastAsia="仿宋" w:hAnsi="仿宋" w:hint="eastAsia"/>
          <w:sz w:val="30"/>
          <w:szCs w:val="30"/>
        </w:rPr>
        <w:t>性</w:t>
      </w:r>
      <w:r w:rsidRPr="008A4D85">
        <w:rPr>
          <w:rFonts w:ascii="仿宋" w:eastAsia="仿宋" w:hAnsi="仿宋" w:hint="eastAsia"/>
          <w:sz w:val="30"/>
          <w:szCs w:val="30"/>
        </w:rPr>
        <w:t>研究</w:t>
      </w:r>
      <w:r w:rsidR="00695446">
        <w:rPr>
          <w:rFonts w:ascii="仿宋" w:eastAsia="仿宋" w:hAnsi="仿宋" w:hint="eastAsia"/>
          <w:sz w:val="30"/>
          <w:szCs w:val="30"/>
        </w:rPr>
        <w:t>、</w:t>
      </w:r>
      <w:r w:rsidRPr="008A4D85">
        <w:rPr>
          <w:rFonts w:ascii="仿宋" w:eastAsia="仿宋" w:hAnsi="仿宋" w:hint="eastAsia"/>
          <w:sz w:val="30"/>
          <w:szCs w:val="30"/>
        </w:rPr>
        <w:t>临床</w:t>
      </w:r>
      <w:r w:rsidR="00695446">
        <w:rPr>
          <w:rFonts w:ascii="仿宋" w:eastAsia="仿宋" w:hAnsi="仿宋" w:hint="eastAsia"/>
          <w:sz w:val="30"/>
          <w:szCs w:val="30"/>
        </w:rPr>
        <w:t>试验、</w:t>
      </w:r>
      <w:r w:rsidR="00235DD1" w:rsidRPr="008A4D85">
        <w:rPr>
          <w:rFonts w:ascii="仿宋" w:eastAsia="仿宋" w:hAnsi="仿宋" w:hint="eastAsia"/>
          <w:sz w:val="30"/>
          <w:szCs w:val="30"/>
        </w:rPr>
        <w:t>系统</w:t>
      </w:r>
      <w:r w:rsidR="00CD7DE6">
        <w:rPr>
          <w:rFonts w:ascii="仿宋" w:eastAsia="仿宋" w:hAnsi="仿宋" w:hint="eastAsia"/>
          <w:sz w:val="30"/>
          <w:szCs w:val="30"/>
        </w:rPr>
        <w:t>综述</w:t>
      </w:r>
      <w:r w:rsidR="009968FF">
        <w:rPr>
          <w:rFonts w:ascii="仿宋" w:eastAsia="仿宋" w:hAnsi="仿宋" w:hint="eastAsia"/>
          <w:sz w:val="30"/>
          <w:szCs w:val="30"/>
        </w:rPr>
        <w:t>、</w:t>
      </w:r>
      <w:r w:rsidR="00235DD1" w:rsidRPr="008A4D85">
        <w:rPr>
          <w:rFonts w:ascii="仿宋" w:eastAsia="仿宋" w:hAnsi="仿宋" w:hint="eastAsia"/>
          <w:sz w:val="30"/>
          <w:szCs w:val="30"/>
        </w:rPr>
        <w:t>荟萃分析</w:t>
      </w:r>
      <w:r w:rsidR="000503C8">
        <w:rPr>
          <w:rFonts w:ascii="仿宋" w:eastAsia="仿宋" w:hAnsi="仿宋" w:hint="eastAsia"/>
          <w:sz w:val="30"/>
          <w:szCs w:val="30"/>
        </w:rPr>
        <w:t>（</w:t>
      </w:r>
      <w:r w:rsidR="00A027C3">
        <w:rPr>
          <w:rFonts w:ascii="仿宋" w:eastAsia="仿宋" w:hAnsi="仿宋" w:hint="eastAsia"/>
          <w:sz w:val="30"/>
          <w:szCs w:val="30"/>
        </w:rPr>
        <w:t>又称“</w:t>
      </w:r>
      <w:r w:rsidR="000503C8" w:rsidRPr="000C75BF">
        <w:rPr>
          <w:rFonts w:ascii="仿宋" w:eastAsia="仿宋" w:hAnsi="仿宋"/>
          <w:sz w:val="30"/>
          <w:szCs w:val="30"/>
        </w:rPr>
        <w:t>M</w:t>
      </w:r>
      <w:r w:rsidR="000503C8">
        <w:rPr>
          <w:rFonts w:ascii="仿宋" w:eastAsia="仿宋" w:hAnsi="仿宋"/>
          <w:sz w:val="30"/>
          <w:szCs w:val="30"/>
        </w:rPr>
        <w:t>eta</w:t>
      </w:r>
      <w:r w:rsidR="000503C8" w:rsidRPr="000C75BF">
        <w:rPr>
          <w:rFonts w:ascii="仿宋" w:eastAsia="仿宋" w:hAnsi="仿宋"/>
          <w:sz w:val="30"/>
          <w:szCs w:val="30"/>
        </w:rPr>
        <w:t>分析</w:t>
      </w:r>
      <w:r w:rsidR="00A027C3">
        <w:rPr>
          <w:rFonts w:ascii="仿宋" w:eastAsia="仿宋" w:hAnsi="仿宋" w:hint="eastAsia"/>
          <w:sz w:val="30"/>
          <w:szCs w:val="30"/>
        </w:rPr>
        <w:t>”</w:t>
      </w:r>
      <w:r w:rsidR="000503C8">
        <w:rPr>
          <w:rFonts w:ascii="仿宋" w:eastAsia="仿宋" w:hAnsi="仿宋" w:hint="eastAsia"/>
          <w:sz w:val="30"/>
          <w:szCs w:val="30"/>
        </w:rPr>
        <w:t>）</w:t>
      </w:r>
      <w:r w:rsidR="00CD7DE6">
        <w:rPr>
          <w:rFonts w:ascii="仿宋" w:eastAsia="仿宋" w:hAnsi="仿宋" w:hint="eastAsia"/>
          <w:sz w:val="30"/>
          <w:szCs w:val="30"/>
        </w:rPr>
        <w:t>、药品利用研究</w:t>
      </w:r>
      <w:r w:rsidR="002F7324">
        <w:rPr>
          <w:rFonts w:ascii="仿宋" w:eastAsia="仿宋" w:hAnsi="仿宋" w:hint="eastAsia"/>
          <w:sz w:val="30"/>
          <w:szCs w:val="30"/>
        </w:rPr>
        <w:t>等</w:t>
      </w:r>
      <w:r w:rsidR="00A027C3">
        <w:rPr>
          <w:rFonts w:ascii="仿宋" w:eastAsia="仿宋" w:hAnsi="仿宋" w:hint="eastAsia"/>
          <w:sz w:val="30"/>
          <w:szCs w:val="30"/>
        </w:rPr>
        <w:t>。</w:t>
      </w:r>
    </w:p>
    <w:p w14:paraId="6CAB73B4" w14:textId="794FE81D" w:rsidR="0020387F" w:rsidRDefault="00DB5716" w:rsidP="003D19D8">
      <w:pPr>
        <w:spacing w:line="540" w:lineRule="exact"/>
        <w:ind w:firstLineChars="202" w:firstLine="606"/>
        <w:rPr>
          <w:rFonts w:ascii="仿宋" w:eastAsia="仿宋" w:hAnsi="仿宋"/>
          <w:sz w:val="30"/>
          <w:szCs w:val="30"/>
        </w:rPr>
      </w:pPr>
      <w:r>
        <w:rPr>
          <w:rFonts w:ascii="仿宋" w:eastAsia="仿宋" w:hAnsi="仿宋" w:hint="eastAsia"/>
          <w:sz w:val="30"/>
          <w:szCs w:val="30"/>
        </w:rPr>
        <w:t>对</w:t>
      </w:r>
      <w:r w:rsidR="00E70025">
        <w:rPr>
          <w:rFonts w:ascii="仿宋" w:eastAsia="仿宋" w:hAnsi="仿宋" w:hint="eastAsia"/>
          <w:sz w:val="30"/>
          <w:szCs w:val="30"/>
        </w:rPr>
        <w:t>文献</w:t>
      </w:r>
      <w:r>
        <w:rPr>
          <w:rFonts w:ascii="仿宋" w:eastAsia="仿宋" w:hAnsi="仿宋" w:hint="eastAsia"/>
          <w:sz w:val="30"/>
          <w:szCs w:val="30"/>
        </w:rPr>
        <w:t>的检索</w:t>
      </w:r>
      <w:r w:rsidR="00E11FFC">
        <w:rPr>
          <w:rFonts w:ascii="仿宋" w:eastAsia="仿宋" w:hAnsi="仿宋" w:hint="eastAsia"/>
          <w:sz w:val="30"/>
          <w:szCs w:val="30"/>
        </w:rPr>
        <w:t>应</w:t>
      </w:r>
      <w:r>
        <w:rPr>
          <w:rFonts w:ascii="仿宋" w:eastAsia="仿宋" w:hAnsi="仿宋" w:hint="eastAsia"/>
          <w:sz w:val="30"/>
          <w:szCs w:val="30"/>
        </w:rPr>
        <w:t>尽可能</w:t>
      </w:r>
      <w:r w:rsidR="00E11FFC">
        <w:rPr>
          <w:rFonts w:ascii="仿宋" w:eastAsia="仿宋" w:hAnsi="仿宋" w:hint="eastAsia"/>
          <w:sz w:val="30"/>
          <w:szCs w:val="30"/>
        </w:rPr>
        <w:t>全面</w:t>
      </w:r>
      <w:r w:rsidR="00E70025">
        <w:rPr>
          <w:rFonts w:ascii="仿宋" w:eastAsia="仿宋" w:hAnsi="仿宋" w:hint="eastAsia"/>
          <w:sz w:val="30"/>
          <w:szCs w:val="30"/>
        </w:rPr>
        <w:t>，</w:t>
      </w:r>
      <w:r w:rsidR="00E11FFC">
        <w:rPr>
          <w:rFonts w:ascii="仿宋" w:eastAsia="仿宋" w:hAnsi="仿宋" w:hint="eastAsia"/>
          <w:sz w:val="30"/>
          <w:szCs w:val="30"/>
        </w:rPr>
        <w:t>减少</w:t>
      </w:r>
      <w:r w:rsidR="00E70025">
        <w:rPr>
          <w:rFonts w:ascii="仿宋" w:eastAsia="仿宋" w:hAnsi="仿宋" w:hint="eastAsia"/>
          <w:sz w:val="30"/>
          <w:szCs w:val="30"/>
        </w:rPr>
        <w:t>漏检。在</w:t>
      </w:r>
      <w:r w:rsidR="00AB3287">
        <w:rPr>
          <w:rFonts w:ascii="仿宋" w:eastAsia="仿宋" w:hAnsi="仿宋" w:hint="eastAsia"/>
          <w:sz w:val="30"/>
          <w:szCs w:val="30"/>
        </w:rPr>
        <w:t>可能的</w:t>
      </w:r>
      <w:r w:rsidR="00E70025">
        <w:rPr>
          <w:rFonts w:ascii="仿宋" w:eastAsia="仿宋" w:hAnsi="仿宋" w:hint="eastAsia"/>
          <w:sz w:val="30"/>
          <w:szCs w:val="30"/>
        </w:rPr>
        <w:t>情况下，</w:t>
      </w:r>
      <w:r>
        <w:rPr>
          <w:rFonts w:ascii="仿宋" w:eastAsia="仿宋" w:hAnsi="仿宋" w:hint="eastAsia"/>
          <w:sz w:val="30"/>
          <w:szCs w:val="30"/>
        </w:rPr>
        <w:t>通过</w:t>
      </w:r>
      <w:r w:rsidR="00E11FFC">
        <w:rPr>
          <w:rFonts w:ascii="仿宋" w:eastAsia="仿宋" w:hAnsi="仿宋" w:hint="eastAsia"/>
          <w:sz w:val="30"/>
          <w:szCs w:val="30"/>
        </w:rPr>
        <w:t>宽泛</w:t>
      </w:r>
      <w:r>
        <w:rPr>
          <w:rFonts w:ascii="仿宋" w:eastAsia="仿宋" w:hAnsi="仿宋" w:hint="eastAsia"/>
          <w:sz w:val="30"/>
          <w:szCs w:val="30"/>
        </w:rPr>
        <w:t>的检索策略可以获得更多的文献</w:t>
      </w:r>
      <w:r w:rsidR="009044CE">
        <w:rPr>
          <w:rFonts w:ascii="仿宋" w:eastAsia="仿宋" w:hAnsi="仿宋" w:hint="eastAsia"/>
          <w:sz w:val="30"/>
          <w:szCs w:val="30"/>
        </w:rPr>
        <w:t>，例如</w:t>
      </w:r>
      <w:r w:rsidR="00AB3287">
        <w:rPr>
          <w:rFonts w:ascii="仿宋" w:eastAsia="仿宋" w:hAnsi="仿宋" w:hint="eastAsia"/>
          <w:sz w:val="30"/>
          <w:szCs w:val="30"/>
        </w:rPr>
        <w:t>以通用名称</w:t>
      </w:r>
      <w:r w:rsidR="008E77DC">
        <w:rPr>
          <w:rFonts w:ascii="仿宋" w:eastAsia="仿宋" w:hAnsi="仿宋" w:hint="eastAsia"/>
          <w:sz w:val="30"/>
          <w:szCs w:val="30"/>
        </w:rPr>
        <w:t>和</w:t>
      </w:r>
      <w:r w:rsidR="00AB3287">
        <w:rPr>
          <w:rFonts w:ascii="仿宋" w:eastAsia="仿宋" w:hAnsi="仿宋" w:hint="eastAsia"/>
          <w:sz w:val="30"/>
          <w:szCs w:val="30"/>
        </w:rPr>
        <w:t>商品名</w:t>
      </w:r>
      <w:r w:rsidR="008E77DC">
        <w:rPr>
          <w:rFonts w:ascii="仿宋" w:eastAsia="仿宋" w:hAnsi="仿宋" w:hint="eastAsia"/>
          <w:sz w:val="30"/>
          <w:szCs w:val="30"/>
        </w:rPr>
        <w:t>称</w:t>
      </w:r>
      <w:r w:rsidR="00AB3287">
        <w:rPr>
          <w:rFonts w:ascii="仿宋" w:eastAsia="仿宋" w:hAnsi="仿宋" w:hint="eastAsia"/>
          <w:sz w:val="30"/>
          <w:szCs w:val="30"/>
        </w:rPr>
        <w:t>进行检索</w:t>
      </w:r>
      <w:r w:rsidR="00E11FFC">
        <w:rPr>
          <w:rFonts w:ascii="仿宋" w:eastAsia="仿宋" w:hAnsi="仿宋" w:hint="eastAsia"/>
          <w:sz w:val="30"/>
          <w:szCs w:val="30"/>
        </w:rPr>
        <w:t>。</w:t>
      </w:r>
      <w:r w:rsidR="00AB3287">
        <w:rPr>
          <w:rFonts w:ascii="仿宋" w:eastAsia="仿宋" w:hAnsi="仿宋" w:hint="eastAsia"/>
          <w:sz w:val="30"/>
          <w:szCs w:val="30"/>
        </w:rPr>
        <w:t>为获得最佳检索结果，</w:t>
      </w:r>
      <w:r w:rsidR="00916F27">
        <w:rPr>
          <w:rFonts w:ascii="仿宋" w:eastAsia="仿宋" w:hAnsi="仿宋" w:hint="eastAsia"/>
          <w:sz w:val="30"/>
          <w:szCs w:val="30"/>
        </w:rPr>
        <w:t>应当</w:t>
      </w:r>
      <w:r w:rsidR="00AB3287">
        <w:rPr>
          <w:rFonts w:ascii="仿宋" w:eastAsia="仿宋" w:hAnsi="仿宋" w:hint="eastAsia"/>
          <w:sz w:val="30"/>
          <w:szCs w:val="30"/>
        </w:rPr>
        <w:t>在检索前</w:t>
      </w:r>
      <w:r w:rsidR="00916F27">
        <w:rPr>
          <w:rFonts w:ascii="仿宋" w:eastAsia="仿宋" w:hAnsi="仿宋" w:hint="eastAsia"/>
          <w:sz w:val="30"/>
          <w:szCs w:val="30"/>
        </w:rPr>
        <w:t>对文献检索</w:t>
      </w:r>
      <w:r w:rsidR="00AB3287">
        <w:rPr>
          <w:rFonts w:ascii="仿宋" w:eastAsia="仿宋" w:hAnsi="仿宋" w:hint="eastAsia"/>
          <w:sz w:val="30"/>
          <w:szCs w:val="30"/>
        </w:rPr>
        <w:t>策略</w:t>
      </w:r>
      <w:r w:rsidR="00916F27">
        <w:rPr>
          <w:rFonts w:ascii="仿宋" w:eastAsia="仿宋" w:hAnsi="仿宋" w:hint="eastAsia"/>
          <w:sz w:val="30"/>
          <w:szCs w:val="30"/>
        </w:rPr>
        <w:t>进行探索。检索</w:t>
      </w:r>
      <w:r w:rsidR="009E4E6D">
        <w:rPr>
          <w:rFonts w:ascii="仿宋" w:eastAsia="仿宋" w:hAnsi="仿宋" w:hint="eastAsia"/>
          <w:sz w:val="30"/>
          <w:szCs w:val="30"/>
        </w:rPr>
        <w:t>范围、</w:t>
      </w:r>
      <w:r w:rsidR="00916F27">
        <w:rPr>
          <w:rFonts w:ascii="仿宋" w:eastAsia="仿宋" w:hAnsi="仿宋" w:hint="eastAsia"/>
          <w:sz w:val="30"/>
          <w:szCs w:val="30"/>
        </w:rPr>
        <w:t>策略、</w:t>
      </w:r>
      <w:r>
        <w:rPr>
          <w:rFonts w:ascii="仿宋" w:eastAsia="仿宋" w:hAnsi="仿宋" w:hint="eastAsia"/>
          <w:sz w:val="30"/>
          <w:szCs w:val="30"/>
        </w:rPr>
        <w:t>文献的</w:t>
      </w:r>
      <w:proofErr w:type="gramStart"/>
      <w:r w:rsidR="00916F27">
        <w:rPr>
          <w:rFonts w:ascii="仿宋" w:eastAsia="仿宋" w:hAnsi="仿宋" w:hint="eastAsia"/>
          <w:sz w:val="30"/>
          <w:szCs w:val="30"/>
        </w:rPr>
        <w:t>纳</w:t>
      </w:r>
      <w:r w:rsidR="001643E1">
        <w:rPr>
          <w:rFonts w:ascii="仿宋" w:eastAsia="仿宋" w:hAnsi="仿宋" w:hint="eastAsia"/>
          <w:sz w:val="30"/>
          <w:szCs w:val="30"/>
        </w:rPr>
        <w:t>排</w:t>
      </w:r>
      <w:r w:rsidR="00916F27">
        <w:rPr>
          <w:rFonts w:ascii="仿宋" w:eastAsia="仿宋" w:hAnsi="仿宋" w:hint="eastAsia"/>
          <w:sz w:val="30"/>
          <w:szCs w:val="30"/>
        </w:rPr>
        <w:t>标准</w:t>
      </w:r>
      <w:proofErr w:type="gramEnd"/>
      <w:r w:rsidR="00916F27">
        <w:rPr>
          <w:rFonts w:ascii="仿宋" w:eastAsia="仿宋" w:hAnsi="仿宋" w:hint="eastAsia"/>
          <w:sz w:val="30"/>
          <w:szCs w:val="30"/>
        </w:rPr>
        <w:t>应当记录，</w:t>
      </w:r>
      <w:r w:rsidR="00C017E6">
        <w:rPr>
          <w:rFonts w:ascii="仿宋" w:eastAsia="仿宋" w:hAnsi="仿宋" w:hint="eastAsia"/>
          <w:sz w:val="30"/>
          <w:szCs w:val="30"/>
        </w:rPr>
        <w:t>获取的有用文献应当</w:t>
      </w:r>
      <w:r w:rsidR="00916F27">
        <w:rPr>
          <w:rFonts w:ascii="仿宋" w:eastAsia="仿宋" w:hAnsi="仿宋" w:hint="eastAsia"/>
          <w:sz w:val="30"/>
          <w:szCs w:val="30"/>
        </w:rPr>
        <w:t>保存</w:t>
      </w:r>
      <w:r>
        <w:rPr>
          <w:rFonts w:ascii="仿宋" w:eastAsia="仿宋" w:hAnsi="仿宋" w:hint="eastAsia"/>
          <w:sz w:val="30"/>
          <w:szCs w:val="30"/>
        </w:rPr>
        <w:t>全文</w:t>
      </w:r>
      <w:r w:rsidR="00916F27">
        <w:rPr>
          <w:rFonts w:ascii="仿宋" w:eastAsia="仿宋" w:hAnsi="仿宋" w:hint="eastAsia"/>
          <w:sz w:val="30"/>
          <w:szCs w:val="30"/>
        </w:rPr>
        <w:t>。</w:t>
      </w:r>
    </w:p>
    <w:p w14:paraId="36B45AEE" w14:textId="72FA1E1C" w:rsidR="00983428" w:rsidRPr="00AB3287" w:rsidRDefault="00983428" w:rsidP="00610C76">
      <w:pPr>
        <w:pStyle w:val="a7"/>
        <w:numPr>
          <w:ilvl w:val="1"/>
          <w:numId w:val="19"/>
        </w:numPr>
        <w:tabs>
          <w:tab w:val="left" w:pos="709"/>
        </w:tabs>
        <w:spacing w:line="540" w:lineRule="exact"/>
        <w:ind w:firstLineChars="0" w:hanging="5"/>
        <w:outlineLvl w:val="1"/>
        <w:rPr>
          <w:rFonts w:ascii="楷体" w:eastAsia="楷体" w:hAnsi="楷体"/>
          <w:sz w:val="30"/>
          <w:szCs w:val="30"/>
        </w:rPr>
      </w:pPr>
      <w:bookmarkStart w:id="4" w:name="_Toc177114406"/>
      <w:r w:rsidRPr="00AB3287">
        <w:rPr>
          <w:rFonts w:ascii="楷体" w:eastAsia="楷体" w:hAnsi="楷体" w:hint="eastAsia"/>
          <w:sz w:val="30"/>
          <w:szCs w:val="30"/>
        </w:rPr>
        <w:t>研究</w:t>
      </w:r>
      <w:r w:rsidR="006247B6" w:rsidRPr="00AB3287">
        <w:rPr>
          <w:rFonts w:ascii="楷体" w:eastAsia="楷体" w:hAnsi="楷体" w:hint="eastAsia"/>
          <w:sz w:val="30"/>
          <w:szCs w:val="30"/>
        </w:rPr>
        <w:t>和调查</w:t>
      </w:r>
      <w:bookmarkEnd w:id="4"/>
    </w:p>
    <w:p w14:paraId="69D7D4DF" w14:textId="511DAABC" w:rsidR="00171574" w:rsidRDefault="00DC439D" w:rsidP="002E3672">
      <w:pPr>
        <w:spacing w:line="540" w:lineRule="exact"/>
        <w:ind w:firstLine="600"/>
        <w:rPr>
          <w:rFonts w:ascii="仿宋" w:eastAsia="仿宋" w:hAnsi="仿宋"/>
          <w:sz w:val="30"/>
          <w:szCs w:val="30"/>
        </w:rPr>
      </w:pPr>
      <w:r>
        <w:rPr>
          <w:rFonts w:ascii="仿宋" w:eastAsia="仿宋" w:hAnsi="仿宋" w:hint="eastAsia"/>
          <w:sz w:val="30"/>
          <w:szCs w:val="30"/>
        </w:rPr>
        <w:t>评价人员应当审查</w:t>
      </w:r>
      <w:r w:rsidR="00171574">
        <w:rPr>
          <w:rFonts w:ascii="仿宋" w:eastAsia="仿宋" w:hAnsi="仿宋" w:hint="eastAsia"/>
          <w:sz w:val="30"/>
          <w:szCs w:val="30"/>
        </w:rPr>
        <w:t>持有人</w:t>
      </w:r>
      <w:r w:rsidR="00AD1DE8">
        <w:rPr>
          <w:rFonts w:ascii="仿宋" w:eastAsia="仿宋" w:hAnsi="仿宋" w:hint="eastAsia"/>
          <w:sz w:val="30"/>
          <w:szCs w:val="30"/>
        </w:rPr>
        <w:t>既往</w:t>
      </w:r>
      <w:r w:rsidR="00171574">
        <w:rPr>
          <w:rFonts w:ascii="仿宋" w:eastAsia="仿宋" w:hAnsi="仿宋" w:hint="eastAsia"/>
          <w:sz w:val="30"/>
          <w:szCs w:val="30"/>
        </w:rPr>
        <w:t>开展</w:t>
      </w:r>
      <w:r w:rsidR="00564830">
        <w:rPr>
          <w:rFonts w:ascii="仿宋" w:eastAsia="仿宋" w:hAnsi="仿宋" w:hint="eastAsia"/>
          <w:sz w:val="30"/>
          <w:szCs w:val="30"/>
        </w:rPr>
        <w:t>或参与开展</w:t>
      </w:r>
      <w:r w:rsidR="00AD1DE8">
        <w:rPr>
          <w:rFonts w:ascii="仿宋" w:eastAsia="仿宋" w:hAnsi="仿宋" w:hint="eastAsia"/>
          <w:sz w:val="30"/>
          <w:szCs w:val="30"/>
        </w:rPr>
        <w:t>的</w:t>
      </w:r>
      <w:r w:rsidR="00105AE0">
        <w:rPr>
          <w:rFonts w:ascii="仿宋" w:eastAsia="仿宋" w:hAnsi="仿宋" w:hint="eastAsia"/>
          <w:sz w:val="30"/>
          <w:szCs w:val="30"/>
        </w:rPr>
        <w:t>可能与安全性相关的各类</w:t>
      </w:r>
      <w:r w:rsidR="00AD1DE8">
        <w:rPr>
          <w:rFonts w:ascii="仿宋" w:eastAsia="仿宋" w:hAnsi="仿宋" w:hint="eastAsia"/>
          <w:sz w:val="30"/>
          <w:szCs w:val="30"/>
        </w:rPr>
        <w:t>研究</w:t>
      </w:r>
      <w:r>
        <w:rPr>
          <w:rFonts w:ascii="仿宋" w:eastAsia="仿宋" w:hAnsi="仿宋" w:hint="eastAsia"/>
          <w:sz w:val="30"/>
          <w:szCs w:val="30"/>
        </w:rPr>
        <w:t>，</w:t>
      </w:r>
      <w:r w:rsidR="00AD1DE8">
        <w:rPr>
          <w:rFonts w:ascii="仿宋" w:eastAsia="仿宋" w:hAnsi="仿宋" w:hint="eastAsia"/>
          <w:sz w:val="30"/>
          <w:szCs w:val="30"/>
        </w:rPr>
        <w:t>包括</w:t>
      </w:r>
      <w:r w:rsidR="00C578B5">
        <w:rPr>
          <w:rFonts w:ascii="仿宋" w:eastAsia="仿宋" w:hAnsi="仿宋" w:hint="eastAsia"/>
          <w:sz w:val="30"/>
          <w:szCs w:val="30"/>
        </w:rPr>
        <w:t>上市前</w:t>
      </w:r>
      <w:r w:rsidR="00AD1DE8">
        <w:rPr>
          <w:rFonts w:ascii="仿宋" w:eastAsia="仿宋" w:hAnsi="仿宋" w:hint="eastAsia"/>
          <w:sz w:val="30"/>
          <w:szCs w:val="30"/>
        </w:rPr>
        <w:t>和上市后</w:t>
      </w:r>
      <w:r w:rsidR="00564830">
        <w:rPr>
          <w:rFonts w:ascii="仿宋" w:eastAsia="仿宋" w:hAnsi="仿宋" w:hint="eastAsia"/>
          <w:sz w:val="30"/>
          <w:szCs w:val="30"/>
        </w:rPr>
        <w:t>开展的非临床研究、</w:t>
      </w:r>
      <w:r w:rsidR="00C578B5">
        <w:rPr>
          <w:rFonts w:ascii="仿宋" w:eastAsia="仿宋" w:hAnsi="仿宋" w:hint="eastAsia"/>
          <w:sz w:val="30"/>
          <w:szCs w:val="30"/>
        </w:rPr>
        <w:t>临床</w:t>
      </w:r>
      <w:r w:rsidR="00460379">
        <w:rPr>
          <w:rFonts w:ascii="仿宋" w:eastAsia="仿宋" w:hAnsi="仿宋" w:hint="eastAsia"/>
          <w:sz w:val="30"/>
          <w:szCs w:val="30"/>
        </w:rPr>
        <w:t>试验</w:t>
      </w:r>
      <w:r w:rsidR="00AD1DE8">
        <w:rPr>
          <w:rFonts w:ascii="仿宋" w:eastAsia="仿宋" w:hAnsi="仿宋" w:hint="eastAsia"/>
          <w:sz w:val="30"/>
          <w:szCs w:val="30"/>
        </w:rPr>
        <w:t>、流行病学研</w:t>
      </w:r>
      <w:r w:rsidR="00AD1DE8" w:rsidRPr="00DC439D">
        <w:rPr>
          <w:rFonts w:ascii="仿宋" w:eastAsia="仿宋" w:hAnsi="仿宋" w:hint="eastAsia"/>
          <w:sz w:val="30"/>
          <w:szCs w:val="30"/>
        </w:rPr>
        <w:t>究</w:t>
      </w:r>
      <w:r w:rsidR="00105AE0">
        <w:rPr>
          <w:rFonts w:ascii="仿宋" w:eastAsia="仿宋" w:hAnsi="仿宋" w:hint="eastAsia"/>
          <w:sz w:val="30"/>
          <w:szCs w:val="30"/>
        </w:rPr>
        <w:t>等。一些与安全性相关的</w:t>
      </w:r>
      <w:r w:rsidR="00105AE0" w:rsidRPr="00564830">
        <w:rPr>
          <w:rFonts w:ascii="仿宋" w:eastAsia="仿宋" w:hAnsi="仿宋" w:hint="eastAsia"/>
          <w:sz w:val="30"/>
          <w:szCs w:val="30"/>
        </w:rPr>
        <w:t>调查</w:t>
      </w:r>
      <w:r w:rsidR="00105AE0">
        <w:rPr>
          <w:rFonts w:ascii="仿宋" w:eastAsia="仿宋" w:hAnsi="仿宋" w:hint="eastAsia"/>
          <w:sz w:val="30"/>
          <w:szCs w:val="30"/>
        </w:rPr>
        <w:t>或分析项目也可能为评价工作提供有用的信息。</w:t>
      </w:r>
    </w:p>
    <w:p w14:paraId="7116D45B" w14:textId="5CCEA463" w:rsidR="00254D14" w:rsidRDefault="00FA3D5D" w:rsidP="003B6891">
      <w:pPr>
        <w:spacing w:line="540" w:lineRule="exact"/>
        <w:ind w:firstLine="600"/>
        <w:rPr>
          <w:rFonts w:ascii="仿宋" w:eastAsia="仿宋" w:hAnsi="仿宋"/>
          <w:sz w:val="30"/>
          <w:szCs w:val="30"/>
        </w:rPr>
      </w:pPr>
      <w:r w:rsidRPr="00FA3D5D">
        <w:rPr>
          <w:rFonts w:ascii="仿宋" w:eastAsia="仿宋" w:hAnsi="仿宋" w:hint="eastAsia"/>
          <w:sz w:val="30"/>
          <w:szCs w:val="30"/>
        </w:rPr>
        <w:t>如果当前所获得的所有资料不足以为评价提供支撑，持有人</w:t>
      </w:r>
      <w:r w:rsidR="00BE31F5">
        <w:rPr>
          <w:rFonts w:ascii="仿宋" w:eastAsia="仿宋" w:hAnsi="仿宋" w:hint="eastAsia"/>
          <w:sz w:val="30"/>
          <w:szCs w:val="30"/>
        </w:rPr>
        <w:t>则</w:t>
      </w:r>
      <w:r w:rsidR="00DB5716">
        <w:rPr>
          <w:rFonts w:ascii="仿宋" w:eastAsia="仿宋" w:hAnsi="仿宋" w:hint="eastAsia"/>
          <w:sz w:val="30"/>
          <w:szCs w:val="30"/>
        </w:rPr>
        <w:t>应</w:t>
      </w:r>
      <w:r w:rsidRPr="00FA3D5D">
        <w:rPr>
          <w:rFonts w:ascii="仿宋" w:eastAsia="仿宋" w:hAnsi="仿宋" w:hint="eastAsia"/>
          <w:sz w:val="30"/>
          <w:szCs w:val="30"/>
        </w:rPr>
        <w:t>考虑开展</w:t>
      </w:r>
      <w:r w:rsidR="00E4695E">
        <w:rPr>
          <w:rFonts w:ascii="仿宋" w:eastAsia="仿宋" w:hAnsi="仿宋" w:hint="eastAsia"/>
          <w:sz w:val="30"/>
          <w:szCs w:val="30"/>
        </w:rPr>
        <w:t>新的</w:t>
      </w:r>
      <w:r w:rsidRPr="00FA3D5D">
        <w:rPr>
          <w:rFonts w:ascii="仿宋" w:eastAsia="仿宋" w:hAnsi="仿宋" w:hint="eastAsia"/>
          <w:sz w:val="30"/>
          <w:szCs w:val="30"/>
        </w:rPr>
        <w:t>研究。</w:t>
      </w:r>
      <w:r w:rsidR="00EB6E4B">
        <w:rPr>
          <w:rFonts w:ascii="仿宋" w:eastAsia="仿宋" w:hAnsi="仿宋" w:hint="eastAsia"/>
          <w:sz w:val="30"/>
          <w:szCs w:val="30"/>
        </w:rPr>
        <w:t>研究目的</w:t>
      </w:r>
      <w:r w:rsidR="00C351FF">
        <w:rPr>
          <w:rFonts w:ascii="仿宋" w:eastAsia="仿宋" w:hAnsi="仿宋" w:hint="eastAsia"/>
          <w:sz w:val="30"/>
          <w:szCs w:val="30"/>
        </w:rPr>
        <w:t>和方法应</w:t>
      </w:r>
      <w:r w:rsidR="003B6891">
        <w:rPr>
          <w:rFonts w:ascii="仿宋" w:eastAsia="仿宋" w:hAnsi="仿宋" w:hint="eastAsia"/>
          <w:sz w:val="30"/>
          <w:szCs w:val="30"/>
        </w:rPr>
        <w:t>当</w:t>
      </w:r>
      <w:r w:rsidR="00123275">
        <w:rPr>
          <w:rFonts w:ascii="仿宋" w:eastAsia="仿宋" w:hAnsi="仿宋" w:hint="eastAsia"/>
          <w:sz w:val="30"/>
          <w:szCs w:val="30"/>
        </w:rPr>
        <w:t>根据</w:t>
      </w:r>
      <w:r w:rsidRPr="00FA3D5D">
        <w:rPr>
          <w:rFonts w:ascii="仿宋" w:eastAsia="仿宋" w:hAnsi="仿宋"/>
          <w:sz w:val="30"/>
          <w:szCs w:val="30"/>
        </w:rPr>
        <w:t>评价需要解决的问题</w:t>
      </w:r>
      <w:r w:rsidR="00717218">
        <w:rPr>
          <w:rFonts w:ascii="仿宋" w:eastAsia="仿宋" w:hAnsi="仿宋" w:hint="eastAsia"/>
          <w:sz w:val="30"/>
          <w:szCs w:val="30"/>
        </w:rPr>
        <w:t>科学</w:t>
      </w:r>
      <w:r w:rsidR="00C351FF">
        <w:rPr>
          <w:rFonts w:ascii="仿宋" w:eastAsia="仿宋" w:hAnsi="仿宋" w:hint="eastAsia"/>
          <w:sz w:val="30"/>
          <w:szCs w:val="30"/>
        </w:rPr>
        <w:t>设计</w:t>
      </w:r>
      <w:r w:rsidR="003B6891">
        <w:rPr>
          <w:rFonts w:ascii="仿宋" w:eastAsia="仿宋" w:hAnsi="仿宋" w:hint="eastAsia"/>
          <w:sz w:val="30"/>
          <w:szCs w:val="30"/>
        </w:rPr>
        <w:t>，</w:t>
      </w:r>
      <w:r w:rsidR="00717218">
        <w:rPr>
          <w:rFonts w:ascii="仿宋" w:eastAsia="仿宋" w:hAnsi="仿宋" w:hint="eastAsia"/>
          <w:sz w:val="30"/>
          <w:szCs w:val="30"/>
        </w:rPr>
        <w:t>并</w:t>
      </w:r>
      <w:r w:rsidR="00254D14" w:rsidRPr="00FA3D5D">
        <w:rPr>
          <w:rFonts w:ascii="仿宋" w:eastAsia="仿宋" w:hAnsi="仿宋" w:hint="eastAsia"/>
          <w:sz w:val="30"/>
          <w:szCs w:val="30"/>
        </w:rPr>
        <w:t>组织相关领域专家</w:t>
      </w:r>
      <w:r w:rsidR="003B7305">
        <w:rPr>
          <w:rFonts w:ascii="仿宋" w:eastAsia="仿宋" w:hAnsi="仿宋" w:hint="eastAsia"/>
          <w:sz w:val="30"/>
          <w:szCs w:val="30"/>
        </w:rPr>
        <w:t>对研究方案进行论证。对于监管部门要求开展的评价，如果</w:t>
      </w:r>
      <w:r w:rsidR="00EB6E4B">
        <w:rPr>
          <w:rFonts w:ascii="仿宋" w:eastAsia="仿宋" w:hAnsi="仿宋" w:hint="eastAsia"/>
          <w:sz w:val="30"/>
          <w:szCs w:val="30"/>
        </w:rPr>
        <w:t>开展</w:t>
      </w:r>
      <w:r w:rsidR="003B7305">
        <w:rPr>
          <w:rFonts w:ascii="仿宋" w:eastAsia="仿宋" w:hAnsi="仿宋" w:hint="eastAsia"/>
          <w:sz w:val="30"/>
          <w:szCs w:val="30"/>
        </w:rPr>
        <w:t>研究可能影响既定的评价进度，应当提前与监管部门沟通。</w:t>
      </w:r>
    </w:p>
    <w:p w14:paraId="13DD9E59" w14:textId="28986F41" w:rsidR="00983428" w:rsidRDefault="00983428" w:rsidP="00610C76">
      <w:pPr>
        <w:pStyle w:val="a7"/>
        <w:numPr>
          <w:ilvl w:val="1"/>
          <w:numId w:val="19"/>
        </w:numPr>
        <w:tabs>
          <w:tab w:val="left" w:pos="709"/>
        </w:tabs>
        <w:spacing w:line="540" w:lineRule="exact"/>
        <w:ind w:firstLineChars="0" w:hanging="5"/>
        <w:outlineLvl w:val="1"/>
        <w:rPr>
          <w:rFonts w:ascii="楷体" w:eastAsia="楷体" w:hAnsi="楷体"/>
          <w:sz w:val="30"/>
          <w:szCs w:val="30"/>
        </w:rPr>
      </w:pPr>
      <w:bookmarkStart w:id="5" w:name="_Toc177114407"/>
      <w:r w:rsidRPr="009A2980">
        <w:rPr>
          <w:rFonts w:ascii="楷体" w:eastAsia="楷体" w:hAnsi="楷体" w:hint="eastAsia"/>
          <w:sz w:val="30"/>
          <w:szCs w:val="30"/>
        </w:rPr>
        <w:t>专家经验</w:t>
      </w:r>
      <w:bookmarkEnd w:id="5"/>
    </w:p>
    <w:p w14:paraId="38107667" w14:textId="73D9F99C" w:rsidR="007455B8" w:rsidRDefault="00FA3D5D" w:rsidP="003D19D8">
      <w:pPr>
        <w:spacing w:line="540" w:lineRule="exact"/>
        <w:ind w:firstLineChars="202" w:firstLine="606"/>
        <w:rPr>
          <w:rFonts w:ascii="仿宋" w:eastAsia="仿宋" w:hAnsi="仿宋"/>
          <w:sz w:val="30"/>
          <w:szCs w:val="30"/>
        </w:rPr>
      </w:pPr>
      <w:r w:rsidRPr="00FA3D5D">
        <w:rPr>
          <w:rFonts w:ascii="仿宋" w:eastAsia="仿宋" w:hAnsi="仿宋" w:hint="eastAsia"/>
          <w:sz w:val="30"/>
          <w:szCs w:val="30"/>
        </w:rPr>
        <w:t>药品安全性涉及多学科领域，在评价过程中听取相关领域专家的意见非常重要。</w:t>
      </w:r>
      <w:r w:rsidR="003C4736" w:rsidRPr="003C4736">
        <w:rPr>
          <w:rFonts w:ascii="仿宋" w:eastAsia="仿宋" w:hAnsi="仿宋" w:hint="eastAsia"/>
          <w:sz w:val="30"/>
          <w:szCs w:val="30"/>
        </w:rPr>
        <w:t>各学科领域专家以其丰富的知识储备和实践经验为评价工作提供多方面的技术支持，</w:t>
      </w:r>
      <w:r w:rsidR="003C4736">
        <w:rPr>
          <w:rFonts w:ascii="仿宋" w:eastAsia="仿宋" w:hAnsi="仿宋" w:hint="eastAsia"/>
          <w:sz w:val="30"/>
          <w:szCs w:val="30"/>
        </w:rPr>
        <w:t>如</w:t>
      </w:r>
      <w:r w:rsidRPr="00FA3D5D">
        <w:rPr>
          <w:rFonts w:ascii="仿宋" w:eastAsia="仿宋" w:hAnsi="仿宋" w:hint="eastAsia"/>
          <w:sz w:val="30"/>
          <w:szCs w:val="30"/>
        </w:rPr>
        <w:t>疑难病例</w:t>
      </w:r>
      <w:r w:rsidR="003C4736">
        <w:rPr>
          <w:rFonts w:ascii="仿宋" w:eastAsia="仿宋" w:hAnsi="仿宋" w:hint="eastAsia"/>
          <w:sz w:val="30"/>
          <w:szCs w:val="30"/>
        </w:rPr>
        <w:t>讨论</w:t>
      </w:r>
      <w:r w:rsidRPr="00FA3D5D">
        <w:rPr>
          <w:rFonts w:ascii="仿宋" w:eastAsia="仿宋" w:hAnsi="仿宋" w:hint="eastAsia"/>
          <w:sz w:val="30"/>
          <w:szCs w:val="30"/>
        </w:rPr>
        <w:t>、文献质量评价</w:t>
      </w:r>
      <w:r w:rsidR="007455B8">
        <w:rPr>
          <w:rFonts w:ascii="仿宋" w:eastAsia="仿宋" w:hAnsi="仿宋" w:hint="eastAsia"/>
          <w:sz w:val="30"/>
          <w:szCs w:val="30"/>
        </w:rPr>
        <w:t>、研究方案制定</w:t>
      </w:r>
      <w:r w:rsidR="009044CE">
        <w:rPr>
          <w:rFonts w:ascii="仿宋" w:eastAsia="仿宋" w:hAnsi="仿宋" w:hint="eastAsia"/>
          <w:sz w:val="30"/>
          <w:szCs w:val="30"/>
        </w:rPr>
        <w:t>、说明书修订</w:t>
      </w:r>
      <w:r w:rsidRPr="00FA3D5D">
        <w:rPr>
          <w:rFonts w:ascii="仿宋" w:eastAsia="仿宋" w:hAnsi="仿宋" w:hint="eastAsia"/>
          <w:sz w:val="30"/>
          <w:szCs w:val="30"/>
        </w:rPr>
        <w:t>，</w:t>
      </w:r>
      <w:r w:rsidR="007455B8">
        <w:rPr>
          <w:rFonts w:ascii="仿宋" w:eastAsia="仿宋" w:hAnsi="仿宋" w:hint="eastAsia"/>
          <w:sz w:val="30"/>
          <w:szCs w:val="30"/>
        </w:rPr>
        <w:t>以及对药品临床</w:t>
      </w:r>
      <w:r w:rsidRPr="00FA3D5D">
        <w:rPr>
          <w:rFonts w:ascii="仿宋" w:eastAsia="仿宋" w:hAnsi="仿宋" w:hint="eastAsia"/>
          <w:sz w:val="30"/>
          <w:szCs w:val="30"/>
        </w:rPr>
        <w:t>疗效、</w:t>
      </w:r>
      <w:r w:rsidRPr="00FA3D5D">
        <w:rPr>
          <w:rFonts w:ascii="仿宋" w:eastAsia="仿宋" w:hAnsi="仿宋" w:hint="eastAsia"/>
          <w:sz w:val="30"/>
          <w:szCs w:val="30"/>
        </w:rPr>
        <w:lastRenderedPageBreak/>
        <w:t>安全性</w:t>
      </w:r>
      <w:r w:rsidR="007455B8">
        <w:rPr>
          <w:rFonts w:ascii="仿宋" w:eastAsia="仿宋" w:hAnsi="仿宋" w:hint="eastAsia"/>
          <w:sz w:val="30"/>
          <w:szCs w:val="30"/>
        </w:rPr>
        <w:t>、</w:t>
      </w:r>
      <w:r w:rsidRPr="00FA3D5D">
        <w:rPr>
          <w:rFonts w:ascii="仿宋" w:eastAsia="仿宋" w:hAnsi="仿宋" w:hint="eastAsia"/>
          <w:sz w:val="30"/>
          <w:szCs w:val="30"/>
        </w:rPr>
        <w:t>治疗地位、</w:t>
      </w:r>
      <w:r w:rsidR="007455B8">
        <w:rPr>
          <w:rFonts w:ascii="仿宋" w:eastAsia="仿宋" w:hAnsi="仿宋" w:hint="eastAsia"/>
          <w:sz w:val="30"/>
          <w:szCs w:val="30"/>
        </w:rPr>
        <w:t>使用情况的</w:t>
      </w:r>
      <w:r w:rsidR="00B64973">
        <w:rPr>
          <w:rFonts w:ascii="仿宋" w:eastAsia="仿宋" w:hAnsi="仿宋" w:hint="eastAsia"/>
          <w:sz w:val="30"/>
          <w:szCs w:val="30"/>
        </w:rPr>
        <w:t>咨询</w:t>
      </w:r>
      <w:r w:rsidR="007455B8">
        <w:rPr>
          <w:rFonts w:ascii="仿宋" w:eastAsia="仿宋" w:hAnsi="仿宋" w:hint="eastAsia"/>
          <w:sz w:val="30"/>
          <w:szCs w:val="30"/>
        </w:rPr>
        <w:t>等。</w:t>
      </w:r>
    </w:p>
    <w:p w14:paraId="6A9B1E7D" w14:textId="31AF3D2E" w:rsidR="0020387F" w:rsidRPr="0020387F" w:rsidRDefault="003C4736" w:rsidP="003D19D8">
      <w:pPr>
        <w:spacing w:line="540" w:lineRule="exact"/>
        <w:ind w:firstLineChars="202" w:firstLine="606"/>
        <w:rPr>
          <w:rFonts w:ascii="仿宋" w:eastAsia="仿宋" w:hAnsi="仿宋"/>
          <w:sz w:val="30"/>
          <w:szCs w:val="30"/>
        </w:rPr>
      </w:pPr>
      <w:r w:rsidRPr="00FA3D5D">
        <w:rPr>
          <w:rFonts w:ascii="仿宋" w:eastAsia="仿宋" w:hAnsi="仿宋" w:hint="eastAsia"/>
          <w:sz w:val="30"/>
          <w:szCs w:val="30"/>
        </w:rPr>
        <w:t>专家包括持有人内部专家和外部专家，</w:t>
      </w:r>
      <w:r>
        <w:rPr>
          <w:rFonts w:ascii="仿宋" w:eastAsia="仿宋" w:hAnsi="仿宋" w:hint="eastAsia"/>
          <w:sz w:val="30"/>
          <w:szCs w:val="30"/>
        </w:rPr>
        <w:t>当</w:t>
      </w:r>
      <w:r w:rsidRPr="00FA3D5D">
        <w:rPr>
          <w:rFonts w:ascii="仿宋" w:eastAsia="仿宋" w:hAnsi="仿宋" w:hint="eastAsia"/>
          <w:sz w:val="30"/>
          <w:szCs w:val="30"/>
        </w:rPr>
        <w:t>内部专家涉及的知识领域不足以支持评价时，持有人应当寻求外部专家的帮助。</w:t>
      </w:r>
      <w:r w:rsidR="00FA3D5D" w:rsidRPr="00FA3D5D">
        <w:rPr>
          <w:rFonts w:ascii="仿宋" w:eastAsia="仿宋" w:hAnsi="仿宋" w:hint="eastAsia"/>
          <w:sz w:val="30"/>
          <w:szCs w:val="30"/>
        </w:rPr>
        <w:t>可以通过专家顾问咨询、专家</w:t>
      </w:r>
      <w:r w:rsidR="007455B8">
        <w:rPr>
          <w:rFonts w:ascii="仿宋" w:eastAsia="仿宋" w:hAnsi="仿宋" w:hint="eastAsia"/>
          <w:sz w:val="30"/>
          <w:szCs w:val="30"/>
        </w:rPr>
        <w:t>咨询</w:t>
      </w:r>
      <w:r w:rsidR="00FA3D5D" w:rsidRPr="00FA3D5D">
        <w:rPr>
          <w:rFonts w:ascii="仿宋" w:eastAsia="仿宋" w:hAnsi="仿宋" w:hint="eastAsia"/>
          <w:sz w:val="30"/>
          <w:szCs w:val="30"/>
        </w:rPr>
        <w:t>会等方式获取外部专家的意见。专家参与评价的情况应当有记录，如会议记</w:t>
      </w:r>
      <w:r w:rsidR="005B37FE">
        <w:rPr>
          <w:rFonts w:ascii="仿宋" w:eastAsia="仿宋" w:hAnsi="仿宋" w:hint="eastAsia"/>
          <w:sz w:val="30"/>
          <w:szCs w:val="30"/>
        </w:rPr>
        <w:t>要</w:t>
      </w:r>
      <w:r w:rsidR="007455B8">
        <w:rPr>
          <w:rFonts w:ascii="仿宋" w:eastAsia="仿宋" w:hAnsi="仿宋" w:hint="eastAsia"/>
          <w:sz w:val="30"/>
          <w:szCs w:val="30"/>
        </w:rPr>
        <w:t>、</w:t>
      </w:r>
      <w:r w:rsidR="00FA3D5D" w:rsidRPr="00FA3D5D">
        <w:rPr>
          <w:rFonts w:ascii="仿宋" w:eastAsia="仿宋" w:hAnsi="仿宋" w:hint="eastAsia"/>
          <w:sz w:val="30"/>
          <w:szCs w:val="30"/>
        </w:rPr>
        <w:t>专家意见</w:t>
      </w:r>
      <w:r w:rsidR="007455B8">
        <w:rPr>
          <w:rFonts w:ascii="仿宋" w:eastAsia="仿宋" w:hAnsi="仿宋" w:hint="eastAsia"/>
          <w:sz w:val="30"/>
          <w:szCs w:val="30"/>
        </w:rPr>
        <w:t>表</w:t>
      </w:r>
      <w:r w:rsidR="005B37FE">
        <w:rPr>
          <w:rFonts w:ascii="仿宋" w:eastAsia="仿宋" w:hAnsi="仿宋" w:hint="eastAsia"/>
          <w:sz w:val="30"/>
          <w:szCs w:val="30"/>
        </w:rPr>
        <w:t>等</w:t>
      </w:r>
      <w:r w:rsidR="00FA3D5D" w:rsidRPr="00FA3D5D">
        <w:rPr>
          <w:rFonts w:ascii="仿宋" w:eastAsia="仿宋" w:hAnsi="仿宋" w:hint="eastAsia"/>
          <w:sz w:val="30"/>
          <w:szCs w:val="30"/>
        </w:rPr>
        <w:t>。</w:t>
      </w:r>
    </w:p>
    <w:p w14:paraId="1365E82B" w14:textId="4FE4AC9E" w:rsidR="00983428" w:rsidRDefault="00983428" w:rsidP="00610C76">
      <w:pPr>
        <w:pStyle w:val="a7"/>
        <w:numPr>
          <w:ilvl w:val="1"/>
          <w:numId w:val="19"/>
        </w:numPr>
        <w:tabs>
          <w:tab w:val="left" w:pos="709"/>
        </w:tabs>
        <w:spacing w:line="540" w:lineRule="exact"/>
        <w:ind w:firstLineChars="0" w:hanging="5"/>
        <w:outlineLvl w:val="1"/>
        <w:rPr>
          <w:rFonts w:ascii="楷体" w:eastAsia="楷体" w:hAnsi="楷体"/>
          <w:sz w:val="30"/>
          <w:szCs w:val="30"/>
        </w:rPr>
      </w:pPr>
      <w:bookmarkStart w:id="6" w:name="_Toc177114408"/>
      <w:r w:rsidRPr="009A2980">
        <w:rPr>
          <w:rFonts w:ascii="楷体" w:eastAsia="楷体" w:hAnsi="楷体" w:hint="eastAsia"/>
          <w:sz w:val="30"/>
          <w:szCs w:val="30"/>
        </w:rPr>
        <w:t>药品说明书</w:t>
      </w:r>
      <w:bookmarkEnd w:id="6"/>
    </w:p>
    <w:p w14:paraId="1D83F7DD" w14:textId="549B2087" w:rsidR="00C7787F" w:rsidRDefault="004905AC" w:rsidP="003D19D8">
      <w:pPr>
        <w:spacing w:line="540" w:lineRule="exact"/>
        <w:ind w:firstLineChars="202" w:firstLine="606"/>
        <w:rPr>
          <w:rFonts w:ascii="仿宋" w:eastAsia="仿宋" w:hAnsi="仿宋"/>
          <w:sz w:val="30"/>
          <w:szCs w:val="30"/>
        </w:rPr>
      </w:pPr>
      <w:r w:rsidRPr="004905AC">
        <w:rPr>
          <w:rFonts w:ascii="仿宋" w:eastAsia="仿宋" w:hAnsi="仿宋" w:hint="eastAsia"/>
          <w:sz w:val="30"/>
          <w:szCs w:val="30"/>
        </w:rPr>
        <w:t>药品说明书是监管部门批准的载明药品重要信息的法定文件</w:t>
      </w:r>
      <w:r w:rsidR="00F26BA6">
        <w:rPr>
          <w:rFonts w:ascii="仿宋" w:eastAsia="仿宋" w:hAnsi="仿宋" w:hint="eastAsia"/>
          <w:sz w:val="30"/>
          <w:szCs w:val="30"/>
        </w:rPr>
        <w:t>，</w:t>
      </w:r>
      <w:r w:rsidR="00F26BA6" w:rsidRPr="004905AC">
        <w:rPr>
          <w:rFonts w:ascii="仿宋" w:eastAsia="仿宋" w:hAnsi="仿宋" w:hint="eastAsia"/>
          <w:sz w:val="30"/>
          <w:szCs w:val="30"/>
        </w:rPr>
        <w:t>是辅助评价的</w:t>
      </w:r>
      <w:r w:rsidR="00F26BA6">
        <w:rPr>
          <w:rFonts w:ascii="仿宋" w:eastAsia="仿宋" w:hAnsi="仿宋" w:hint="eastAsia"/>
          <w:sz w:val="30"/>
          <w:szCs w:val="30"/>
        </w:rPr>
        <w:t>有益</w:t>
      </w:r>
      <w:r w:rsidR="00F26BA6" w:rsidRPr="004905AC">
        <w:rPr>
          <w:rFonts w:ascii="仿宋" w:eastAsia="仿宋" w:hAnsi="仿宋" w:hint="eastAsia"/>
          <w:sz w:val="30"/>
          <w:szCs w:val="30"/>
        </w:rPr>
        <w:t>参考。</w:t>
      </w:r>
      <w:r w:rsidRPr="004905AC">
        <w:rPr>
          <w:rFonts w:ascii="仿宋" w:eastAsia="仿宋" w:hAnsi="仿宋" w:hint="eastAsia"/>
          <w:sz w:val="30"/>
          <w:szCs w:val="30"/>
        </w:rPr>
        <w:t>原</w:t>
      </w:r>
      <w:proofErr w:type="gramStart"/>
      <w:r w:rsidRPr="004905AC">
        <w:rPr>
          <w:rFonts w:ascii="仿宋" w:eastAsia="仿宋" w:hAnsi="仿宋" w:hint="eastAsia"/>
          <w:sz w:val="30"/>
          <w:szCs w:val="30"/>
        </w:rPr>
        <w:t>研</w:t>
      </w:r>
      <w:proofErr w:type="gramEnd"/>
      <w:r w:rsidRPr="004905AC">
        <w:rPr>
          <w:rFonts w:ascii="仿宋" w:eastAsia="仿宋" w:hAnsi="仿宋" w:hint="eastAsia"/>
          <w:sz w:val="30"/>
          <w:szCs w:val="30"/>
        </w:rPr>
        <w:t>企业</w:t>
      </w:r>
      <w:r w:rsidR="008C2FF5">
        <w:rPr>
          <w:rFonts w:ascii="仿宋" w:eastAsia="仿宋" w:hAnsi="仿宋" w:hint="eastAsia"/>
          <w:sz w:val="30"/>
          <w:szCs w:val="30"/>
        </w:rPr>
        <w:t>掌握着药品研发和上市后使用的重要资料，</w:t>
      </w:r>
      <w:r>
        <w:rPr>
          <w:rFonts w:ascii="仿宋" w:eastAsia="仿宋" w:hAnsi="仿宋" w:hint="eastAsia"/>
          <w:sz w:val="30"/>
          <w:szCs w:val="30"/>
        </w:rPr>
        <w:t>其产品说明书中应当包含当前</w:t>
      </w:r>
      <w:r w:rsidR="008C2FF5">
        <w:rPr>
          <w:rFonts w:ascii="仿宋" w:eastAsia="仿宋" w:hAnsi="仿宋" w:hint="eastAsia"/>
          <w:sz w:val="30"/>
          <w:szCs w:val="30"/>
        </w:rPr>
        <w:t>对</w:t>
      </w:r>
      <w:r>
        <w:rPr>
          <w:rFonts w:ascii="仿宋" w:eastAsia="仿宋" w:hAnsi="仿宋" w:hint="eastAsia"/>
          <w:sz w:val="30"/>
          <w:szCs w:val="30"/>
        </w:rPr>
        <w:t>产</w:t>
      </w:r>
      <w:r w:rsidRPr="004905AC">
        <w:rPr>
          <w:rFonts w:ascii="仿宋" w:eastAsia="仿宋" w:hAnsi="仿宋" w:hint="eastAsia"/>
          <w:sz w:val="30"/>
          <w:szCs w:val="30"/>
        </w:rPr>
        <w:t>品安全性的</w:t>
      </w:r>
      <w:r w:rsidR="008C2FF5">
        <w:rPr>
          <w:rFonts w:ascii="仿宋" w:eastAsia="仿宋" w:hAnsi="仿宋" w:hint="eastAsia"/>
          <w:sz w:val="30"/>
          <w:szCs w:val="30"/>
        </w:rPr>
        <w:t>全面</w:t>
      </w:r>
      <w:r w:rsidRPr="004905AC">
        <w:rPr>
          <w:rFonts w:ascii="仿宋" w:eastAsia="仿宋" w:hAnsi="仿宋" w:hint="eastAsia"/>
          <w:sz w:val="30"/>
          <w:szCs w:val="30"/>
        </w:rPr>
        <w:t>认知。通过</w:t>
      </w:r>
      <w:r>
        <w:rPr>
          <w:rFonts w:ascii="仿宋" w:eastAsia="仿宋" w:hAnsi="仿宋" w:hint="eastAsia"/>
          <w:sz w:val="30"/>
          <w:szCs w:val="30"/>
        </w:rPr>
        <w:t>仿制药</w:t>
      </w:r>
      <w:r w:rsidRPr="004905AC">
        <w:rPr>
          <w:rFonts w:ascii="仿宋" w:eastAsia="仿宋" w:hAnsi="仿宋" w:hint="eastAsia"/>
          <w:sz w:val="30"/>
          <w:szCs w:val="30"/>
        </w:rPr>
        <w:t>质量和疗效一致性评价或新批准上市的药品</w:t>
      </w:r>
      <w:r>
        <w:rPr>
          <w:rFonts w:ascii="仿宋" w:eastAsia="仿宋" w:hAnsi="仿宋" w:hint="eastAsia"/>
          <w:sz w:val="30"/>
          <w:szCs w:val="30"/>
        </w:rPr>
        <w:t>，其说明书</w:t>
      </w:r>
      <w:r w:rsidRPr="004905AC">
        <w:rPr>
          <w:rFonts w:ascii="仿宋" w:eastAsia="仿宋" w:hAnsi="仿宋" w:hint="eastAsia"/>
          <w:sz w:val="30"/>
          <w:szCs w:val="30"/>
        </w:rPr>
        <w:t>一般涵盖了较新的</w:t>
      </w:r>
      <w:r>
        <w:rPr>
          <w:rFonts w:ascii="仿宋" w:eastAsia="仿宋" w:hAnsi="仿宋" w:hint="eastAsia"/>
          <w:sz w:val="30"/>
          <w:szCs w:val="30"/>
        </w:rPr>
        <w:t>安全性</w:t>
      </w:r>
      <w:r w:rsidRPr="004905AC">
        <w:rPr>
          <w:rFonts w:ascii="仿宋" w:eastAsia="仿宋" w:hAnsi="仿宋" w:hint="eastAsia"/>
          <w:sz w:val="30"/>
          <w:szCs w:val="30"/>
        </w:rPr>
        <w:t>信息。相同活性成分</w:t>
      </w:r>
      <w:r w:rsidR="008C2FF5">
        <w:rPr>
          <w:rFonts w:ascii="仿宋" w:eastAsia="仿宋" w:hAnsi="仿宋" w:hint="eastAsia"/>
          <w:sz w:val="30"/>
          <w:szCs w:val="30"/>
        </w:rPr>
        <w:t>、给药途径的不同</w:t>
      </w:r>
      <w:r w:rsidR="003A7BE0">
        <w:rPr>
          <w:rFonts w:ascii="仿宋" w:eastAsia="仿宋" w:hAnsi="仿宋" w:hint="eastAsia"/>
          <w:sz w:val="30"/>
          <w:szCs w:val="30"/>
        </w:rPr>
        <w:t>企业</w:t>
      </w:r>
      <w:r w:rsidRPr="004905AC">
        <w:rPr>
          <w:rFonts w:ascii="仿宋" w:eastAsia="仿宋" w:hAnsi="仿宋" w:hint="eastAsia"/>
          <w:sz w:val="30"/>
          <w:szCs w:val="30"/>
        </w:rPr>
        <w:t>产品说明书</w:t>
      </w:r>
      <w:r w:rsidR="00BD3871">
        <w:rPr>
          <w:rFonts w:ascii="仿宋" w:eastAsia="仿宋" w:hAnsi="仿宋" w:hint="eastAsia"/>
          <w:sz w:val="30"/>
          <w:szCs w:val="30"/>
        </w:rPr>
        <w:t>，或相同</w:t>
      </w:r>
      <w:r w:rsidR="008C2FF5">
        <w:rPr>
          <w:rFonts w:ascii="仿宋" w:eastAsia="仿宋" w:hAnsi="仿宋" w:hint="eastAsia"/>
          <w:sz w:val="30"/>
          <w:szCs w:val="30"/>
        </w:rPr>
        <w:t>靶点、</w:t>
      </w:r>
      <w:r w:rsidR="00BD3871">
        <w:rPr>
          <w:rFonts w:ascii="仿宋" w:eastAsia="仿宋" w:hAnsi="仿宋" w:hint="eastAsia"/>
          <w:sz w:val="30"/>
          <w:szCs w:val="30"/>
        </w:rPr>
        <w:t>药理作用</w:t>
      </w:r>
      <w:r w:rsidR="008C2FF5">
        <w:rPr>
          <w:rFonts w:ascii="仿宋" w:eastAsia="仿宋" w:hAnsi="仿宋" w:hint="eastAsia"/>
          <w:sz w:val="30"/>
          <w:szCs w:val="30"/>
        </w:rPr>
        <w:t>机制</w:t>
      </w:r>
      <w:r w:rsidR="00BD3871">
        <w:rPr>
          <w:rFonts w:ascii="仿宋" w:eastAsia="仿宋" w:hAnsi="仿宋" w:hint="eastAsia"/>
          <w:sz w:val="30"/>
          <w:szCs w:val="30"/>
        </w:rPr>
        <w:t>的同类品种说明书</w:t>
      </w:r>
      <w:r w:rsidRPr="004905AC">
        <w:rPr>
          <w:rFonts w:ascii="仿宋" w:eastAsia="仿宋" w:hAnsi="仿宋" w:hint="eastAsia"/>
          <w:sz w:val="30"/>
          <w:szCs w:val="30"/>
        </w:rPr>
        <w:t>也可能提供</w:t>
      </w:r>
      <w:r w:rsidR="00F26BA6">
        <w:rPr>
          <w:rFonts w:ascii="仿宋" w:eastAsia="仿宋" w:hAnsi="仿宋" w:hint="eastAsia"/>
          <w:sz w:val="30"/>
          <w:szCs w:val="30"/>
        </w:rPr>
        <w:t>有用</w:t>
      </w:r>
      <w:r w:rsidRPr="004905AC">
        <w:rPr>
          <w:rFonts w:ascii="仿宋" w:eastAsia="仿宋" w:hAnsi="仿宋" w:hint="eastAsia"/>
          <w:sz w:val="30"/>
          <w:szCs w:val="30"/>
        </w:rPr>
        <w:t>的信息。此外还可以参考美国</w:t>
      </w:r>
      <w:r w:rsidR="00691C20">
        <w:rPr>
          <w:rStyle w:val="af6"/>
          <w:rFonts w:ascii="仿宋" w:eastAsia="仿宋" w:hAnsi="仿宋"/>
          <w:sz w:val="30"/>
          <w:szCs w:val="30"/>
        </w:rPr>
        <w:footnoteReference w:id="2"/>
      </w:r>
      <w:r w:rsidRPr="004905AC">
        <w:rPr>
          <w:rFonts w:ascii="仿宋" w:eastAsia="仿宋" w:hAnsi="仿宋" w:hint="eastAsia"/>
          <w:sz w:val="30"/>
          <w:szCs w:val="30"/>
        </w:rPr>
        <w:t>、</w:t>
      </w:r>
      <w:r w:rsidR="00BD3871">
        <w:rPr>
          <w:rFonts w:ascii="仿宋" w:eastAsia="仿宋" w:hAnsi="仿宋" w:hint="eastAsia"/>
          <w:sz w:val="30"/>
          <w:szCs w:val="30"/>
        </w:rPr>
        <w:t>欧盟、</w:t>
      </w:r>
      <w:r w:rsidRPr="004905AC">
        <w:rPr>
          <w:rFonts w:ascii="仿宋" w:eastAsia="仿宋" w:hAnsi="仿宋" w:hint="eastAsia"/>
          <w:sz w:val="30"/>
          <w:szCs w:val="30"/>
        </w:rPr>
        <w:t>英国、日本等国家</w:t>
      </w:r>
      <w:r w:rsidR="003A7BE0">
        <w:rPr>
          <w:rFonts w:ascii="仿宋" w:eastAsia="仿宋" w:hAnsi="仿宋" w:hint="eastAsia"/>
          <w:sz w:val="30"/>
          <w:szCs w:val="30"/>
        </w:rPr>
        <w:t>或</w:t>
      </w:r>
      <w:r w:rsidR="00BD3871">
        <w:rPr>
          <w:rFonts w:ascii="仿宋" w:eastAsia="仿宋" w:hAnsi="仿宋" w:hint="eastAsia"/>
          <w:sz w:val="30"/>
          <w:szCs w:val="30"/>
        </w:rPr>
        <w:t>地区</w:t>
      </w:r>
      <w:r w:rsidR="00A149C8">
        <w:rPr>
          <w:rFonts w:ascii="仿宋" w:eastAsia="仿宋" w:hAnsi="仿宋" w:hint="eastAsia"/>
          <w:sz w:val="30"/>
          <w:szCs w:val="30"/>
        </w:rPr>
        <w:t>的产品说明书</w:t>
      </w:r>
      <w:r w:rsidR="003A7BE0">
        <w:rPr>
          <w:rFonts w:ascii="仿宋" w:eastAsia="仿宋" w:hAnsi="仿宋" w:hint="eastAsia"/>
          <w:sz w:val="30"/>
          <w:szCs w:val="30"/>
        </w:rPr>
        <w:t>，以及其他</w:t>
      </w:r>
      <w:r w:rsidR="005F7985">
        <w:rPr>
          <w:rFonts w:ascii="仿宋" w:eastAsia="仿宋" w:hAnsi="仿宋" w:hint="eastAsia"/>
          <w:sz w:val="30"/>
          <w:szCs w:val="30"/>
        </w:rPr>
        <w:t>药品</w:t>
      </w:r>
      <w:r w:rsidRPr="004905AC">
        <w:rPr>
          <w:rFonts w:ascii="仿宋" w:eastAsia="仿宋" w:hAnsi="仿宋" w:hint="eastAsia"/>
          <w:sz w:val="30"/>
          <w:szCs w:val="30"/>
        </w:rPr>
        <w:t>说明</w:t>
      </w:r>
      <w:r w:rsidR="003E44FB">
        <w:rPr>
          <w:rFonts w:ascii="仿宋" w:eastAsia="仿宋" w:hAnsi="仿宋" w:hint="eastAsia"/>
          <w:sz w:val="30"/>
          <w:szCs w:val="30"/>
        </w:rPr>
        <w:t>性质的</w:t>
      </w:r>
      <w:r w:rsidR="005F7985">
        <w:rPr>
          <w:rFonts w:ascii="仿宋" w:eastAsia="仿宋" w:hAnsi="仿宋" w:hint="eastAsia"/>
          <w:sz w:val="30"/>
          <w:szCs w:val="30"/>
        </w:rPr>
        <w:t>文件</w:t>
      </w:r>
      <w:r w:rsidRPr="004905AC">
        <w:rPr>
          <w:rFonts w:ascii="仿宋" w:eastAsia="仿宋" w:hAnsi="仿宋" w:hint="eastAsia"/>
          <w:sz w:val="30"/>
          <w:szCs w:val="30"/>
        </w:rPr>
        <w:t>，如欧盟的药品特性摘要（</w:t>
      </w:r>
      <w:r w:rsidRPr="004905AC">
        <w:rPr>
          <w:rFonts w:ascii="仿宋" w:eastAsia="仿宋" w:hAnsi="仿宋"/>
          <w:sz w:val="30"/>
          <w:szCs w:val="30"/>
        </w:rPr>
        <w:t xml:space="preserve">Summary of </w:t>
      </w:r>
      <w:r w:rsidR="005F7985">
        <w:rPr>
          <w:rFonts w:ascii="仿宋" w:eastAsia="仿宋" w:hAnsi="仿宋" w:hint="eastAsia"/>
          <w:sz w:val="30"/>
          <w:szCs w:val="30"/>
        </w:rPr>
        <w:t>P</w:t>
      </w:r>
      <w:r w:rsidRPr="004905AC">
        <w:rPr>
          <w:rFonts w:ascii="仿宋" w:eastAsia="仿宋" w:hAnsi="仿宋"/>
          <w:sz w:val="30"/>
          <w:szCs w:val="30"/>
        </w:rPr>
        <w:t xml:space="preserve">roduct </w:t>
      </w:r>
      <w:r w:rsidR="005F7985">
        <w:rPr>
          <w:rFonts w:ascii="仿宋" w:eastAsia="仿宋" w:hAnsi="仿宋" w:hint="eastAsia"/>
          <w:sz w:val="30"/>
          <w:szCs w:val="30"/>
        </w:rPr>
        <w:t>C</w:t>
      </w:r>
      <w:r w:rsidRPr="004905AC">
        <w:rPr>
          <w:rFonts w:ascii="仿宋" w:eastAsia="仿宋" w:hAnsi="仿宋"/>
          <w:sz w:val="30"/>
          <w:szCs w:val="30"/>
        </w:rPr>
        <w:t>haracteristic</w:t>
      </w:r>
      <w:r w:rsidR="00BD3871">
        <w:rPr>
          <w:rFonts w:ascii="仿宋" w:eastAsia="仿宋" w:hAnsi="仿宋" w:hint="eastAsia"/>
          <w:sz w:val="30"/>
          <w:szCs w:val="30"/>
        </w:rPr>
        <w:t>，</w:t>
      </w:r>
      <w:proofErr w:type="spellStart"/>
      <w:r w:rsidR="00BD3871">
        <w:rPr>
          <w:rFonts w:ascii="仿宋" w:eastAsia="仿宋" w:hAnsi="仿宋" w:hint="eastAsia"/>
          <w:sz w:val="30"/>
          <w:szCs w:val="30"/>
        </w:rPr>
        <w:t>Sm</w:t>
      </w:r>
      <w:r w:rsidR="00BD3871">
        <w:rPr>
          <w:rFonts w:ascii="仿宋" w:eastAsia="仿宋" w:hAnsi="仿宋"/>
          <w:sz w:val="30"/>
          <w:szCs w:val="30"/>
        </w:rPr>
        <w:t>PC</w:t>
      </w:r>
      <w:proofErr w:type="spellEnd"/>
      <w:r w:rsidRPr="004905AC">
        <w:rPr>
          <w:rFonts w:ascii="仿宋" w:eastAsia="仿宋" w:hAnsi="仿宋"/>
          <w:sz w:val="30"/>
          <w:szCs w:val="30"/>
        </w:rPr>
        <w:t>）</w:t>
      </w:r>
      <w:r w:rsidR="005F7985">
        <w:rPr>
          <w:rFonts w:ascii="仿宋" w:eastAsia="仿宋" w:hAnsi="仿宋" w:hint="eastAsia"/>
          <w:sz w:val="30"/>
          <w:szCs w:val="30"/>
        </w:rPr>
        <w:t>、</w:t>
      </w:r>
      <w:r w:rsidRPr="00DA1DFF">
        <w:rPr>
          <w:rFonts w:ascii="仿宋" w:eastAsia="仿宋" w:hAnsi="仿宋" w:hint="eastAsia"/>
          <w:sz w:val="30"/>
          <w:szCs w:val="30"/>
        </w:rPr>
        <w:t>日本的</w:t>
      </w:r>
      <w:r w:rsidR="00BD3871" w:rsidRPr="00DA1DFF">
        <w:rPr>
          <w:rFonts w:ascii="仿宋" w:eastAsia="仿宋" w:hAnsi="仿宋" w:hint="eastAsia"/>
          <w:sz w:val="30"/>
          <w:szCs w:val="30"/>
        </w:rPr>
        <w:t>药品</w:t>
      </w:r>
      <w:r w:rsidR="003A7BE0" w:rsidRPr="00DA1DFF">
        <w:rPr>
          <w:rFonts w:ascii="仿宋" w:eastAsia="仿宋" w:hAnsi="仿宋" w:hint="eastAsia"/>
          <w:sz w:val="30"/>
          <w:szCs w:val="30"/>
        </w:rPr>
        <w:t>综述</w:t>
      </w:r>
      <w:r w:rsidR="009D17C8">
        <w:rPr>
          <w:rFonts w:ascii="仿宋" w:eastAsia="仿宋" w:hAnsi="仿宋" w:hint="eastAsia"/>
          <w:sz w:val="30"/>
          <w:szCs w:val="30"/>
        </w:rPr>
        <w:t>（</w:t>
      </w:r>
      <w:r w:rsidRPr="004905AC">
        <w:rPr>
          <w:rFonts w:ascii="仿宋" w:eastAsia="仿宋" w:hAnsi="仿宋"/>
          <w:sz w:val="30"/>
          <w:szCs w:val="30"/>
        </w:rPr>
        <w:t>Interview form</w:t>
      </w:r>
      <w:r w:rsidR="00BD3871">
        <w:rPr>
          <w:rFonts w:ascii="仿宋" w:eastAsia="仿宋" w:hAnsi="仿宋" w:hint="eastAsia"/>
          <w:sz w:val="30"/>
          <w:szCs w:val="30"/>
        </w:rPr>
        <w:t>，</w:t>
      </w:r>
      <w:r w:rsidR="00BD3871" w:rsidRPr="004905AC">
        <w:rPr>
          <w:rFonts w:ascii="仿宋" w:eastAsia="仿宋" w:hAnsi="仿宋"/>
          <w:sz w:val="30"/>
          <w:szCs w:val="30"/>
        </w:rPr>
        <w:t>IF</w:t>
      </w:r>
      <w:r w:rsidRPr="004905AC">
        <w:rPr>
          <w:rFonts w:ascii="仿宋" w:eastAsia="仿宋" w:hAnsi="仿宋"/>
          <w:sz w:val="30"/>
          <w:szCs w:val="30"/>
        </w:rPr>
        <w:t>）</w:t>
      </w:r>
      <w:r w:rsidR="00691C20">
        <w:rPr>
          <w:rFonts w:ascii="仿宋" w:eastAsia="仿宋" w:hAnsi="仿宋" w:hint="eastAsia"/>
          <w:sz w:val="30"/>
          <w:szCs w:val="30"/>
        </w:rPr>
        <w:t>、美国的患者用药指南（</w:t>
      </w:r>
      <w:hyperlink r:id="rId8" w:history="1">
        <w:r w:rsidR="00691C20" w:rsidRPr="00691C20">
          <w:rPr>
            <w:rFonts w:ascii="仿宋" w:eastAsia="仿宋" w:hAnsi="仿宋"/>
            <w:sz w:val="30"/>
            <w:szCs w:val="30"/>
          </w:rPr>
          <w:t>Medication Guides</w:t>
        </w:r>
      </w:hyperlink>
      <w:r w:rsidR="00691C20">
        <w:rPr>
          <w:rFonts w:ascii="仿宋" w:eastAsia="仿宋" w:hAnsi="仿宋"/>
          <w:sz w:val="30"/>
          <w:szCs w:val="30"/>
        </w:rPr>
        <w:t>,</w:t>
      </w:r>
      <w:r w:rsidR="00691C20">
        <w:rPr>
          <w:rFonts w:ascii="仿宋" w:eastAsia="仿宋" w:hAnsi="仿宋" w:hint="eastAsia"/>
          <w:sz w:val="30"/>
          <w:szCs w:val="30"/>
        </w:rPr>
        <w:t>MG</w:t>
      </w:r>
      <w:r w:rsidR="00691C20" w:rsidRPr="00691C20">
        <w:rPr>
          <w:rFonts w:ascii="仿宋" w:eastAsia="仿宋" w:hAnsi="仿宋" w:hint="eastAsia"/>
          <w:sz w:val="30"/>
          <w:szCs w:val="30"/>
        </w:rPr>
        <w:t>）</w:t>
      </w:r>
      <w:r w:rsidRPr="004905AC">
        <w:rPr>
          <w:rFonts w:ascii="仿宋" w:eastAsia="仿宋" w:hAnsi="仿宋"/>
          <w:sz w:val="30"/>
          <w:szCs w:val="30"/>
        </w:rPr>
        <w:t>等。</w:t>
      </w:r>
    </w:p>
    <w:p w14:paraId="48E6400D" w14:textId="7CBC3336" w:rsidR="00943F71" w:rsidRDefault="00943F71" w:rsidP="00610C76">
      <w:pPr>
        <w:pStyle w:val="a7"/>
        <w:numPr>
          <w:ilvl w:val="1"/>
          <w:numId w:val="19"/>
        </w:numPr>
        <w:tabs>
          <w:tab w:val="left" w:pos="709"/>
        </w:tabs>
        <w:spacing w:line="540" w:lineRule="exact"/>
        <w:ind w:firstLineChars="0" w:hanging="5"/>
        <w:outlineLvl w:val="1"/>
        <w:rPr>
          <w:rFonts w:ascii="楷体" w:eastAsia="楷体" w:hAnsi="楷体"/>
          <w:sz w:val="30"/>
          <w:szCs w:val="30"/>
        </w:rPr>
      </w:pPr>
      <w:bookmarkStart w:id="7" w:name="_Toc177114409"/>
      <w:r>
        <w:rPr>
          <w:rFonts w:ascii="楷体" w:eastAsia="楷体" w:hAnsi="楷体" w:hint="eastAsia"/>
          <w:sz w:val="30"/>
          <w:szCs w:val="30"/>
        </w:rPr>
        <w:t>监管部门网站</w:t>
      </w:r>
      <w:bookmarkEnd w:id="7"/>
    </w:p>
    <w:p w14:paraId="59ADC2A0" w14:textId="30ED68FF" w:rsidR="00943F71" w:rsidRDefault="00943F71" w:rsidP="003D19D8">
      <w:pPr>
        <w:spacing w:line="540" w:lineRule="exact"/>
        <w:ind w:firstLineChars="202" w:firstLine="606"/>
        <w:rPr>
          <w:rFonts w:ascii="仿宋" w:eastAsia="仿宋" w:hAnsi="仿宋"/>
          <w:sz w:val="30"/>
          <w:szCs w:val="30"/>
        </w:rPr>
      </w:pPr>
      <w:r>
        <w:rPr>
          <w:rFonts w:ascii="仿宋" w:eastAsia="仿宋" w:hAnsi="仿宋" w:hint="eastAsia"/>
          <w:sz w:val="30"/>
          <w:szCs w:val="30"/>
        </w:rPr>
        <w:t>国</w:t>
      </w:r>
      <w:r w:rsidR="00AF1206">
        <w:rPr>
          <w:rFonts w:ascii="仿宋" w:eastAsia="仿宋" w:hAnsi="仿宋" w:hint="eastAsia"/>
          <w:sz w:val="30"/>
          <w:szCs w:val="30"/>
        </w:rPr>
        <w:t>内</w:t>
      </w:r>
      <w:r>
        <w:rPr>
          <w:rFonts w:ascii="仿宋" w:eastAsia="仿宋" w:hAnsi="仿宋" w:hint="eastAsia"/>
          <w:sz w:val="30"/>
          <w:szCs w:val="30"/>
        </w:rPr>
        <w:t>外药品监管部门网站是管理当局发布药品安全性信息的重要载体。在评价过程中，可酌情检索</w:t>
      </w:r>
      <w:r w:rsidR="00AE1103">
        <w:rPr>
          <w:rFonts w:ascii="仿宋" w:eastAsia="仿宋" w:hAnsi="仿宋" w:hint="eastAsia"/>
          <w:sz w:val="30"/>
          <w:szCs w:val="30"/>
        </w:rPr>
        <w:t>中</w:t>
      </w:r>
      <w:r w:rsidR="00AF1206">
        <w:rPr>
          <w:rFonts w:ascii="仿宋" w:eastAsia="仿宋" w:hAnsi="仿宋" w:hint="eastAsia"/>
          <w:sz w:val="30"/>
          <w:szCs w:val="30"/>
        </w:rPr>
        <w:t>国、</w:t>
      </w:r>
      <w:r>
        <w:rPr>
          <w:rFonts w:ascii="仿宋" w:eastAsia="仿宋" w:hAnsi="仿宋" w:hint="eastAsia"/>
          <w:sz w:val="30"/>
          <w:szCs w:val="30"/>
        </w:rPr>
        <w:t>美国、欧盟、英国、日本等药品监管部门</w:t>
      </w:r>
      <w:r w:rsidR="00AE1103">
        <w:rPr>
          <w:rFonts w:ascii="仿宋" w:eastAsia="仿宋" w:hAnsi="仿宋" w:hint="eastAsia"/>
          <w:sz w:val="30"/>
          <w:szCs w:val="30"/>
        </w:rPr>
        <w:t>官方网站</w:t>
      </w:r>
      <w:r>
        <w:rPr>
          <w:rFonts w:ascii="仿宋" w:eastAsia="仿宋" w:hAnsi="仿宋" w:hint="eastAsia"/>
          <w:sz w:val="30"/>
          <w:szCs w:val="30"/>
        </w:rPr>
        <w:t>。</w:t>
      </w:r>
      <w:r w:rsidR="00AE1103">
        <w:rPr>
          <w:rFonts w:ascii="仿宋" w:eastAsia="仿宋" w:hAnsi="仿宋" w:hint="eastAsia"/>
          <w:sz w:val="30"/>
          <w:szCs w:val="30"/>
        </w:rPr>
        <w:t>在</w:t>
      </w:r>
      <w:r>
        <w:rPr>
          <w:rFonts w:ascii="仿宋" w:eastAsia="仿宋" w:hAnsi="仿宋" w:hint="eastAsia"/>
          <w:sz w:val="30"/>
          <w:szCs w:val="30"/>
        </w:rPr>
        <w:t>评价国外暴露的安全性问题</w:t>
      </w:r>
      <w:r w:rsidR="00AE1103">
        <w:rPr>
          <w:rFonts w:ascii="仿宋" w:eastAsia="仿宋" w:hAnsi="仿宋" w:hint="eastAsia"/>
          <w:sz w:val="30"/>
          <w:szCs w:val="30"/>
        </w:rPr>
        <w:t>时</w:t>
      </w:r>
      <w:r>
        <w:rPr>
          <w:rFonts w:ascii="仿宋" w:eastAsia="仿宋" w:hAnsi="仿宋" w:hint="eastAsia"/>
          <w:sz w:val="30"/>
          <w:szCs w:val="30"/>
        </w:rPr>
        <w:t>，需要首先了解国外风险暴露的原因</w:t>
      </w:r>
      <w:r w:rsidR="00AE1103">
        <w:rPr>
          <w:rFonts w:ascii="仿宋" w:eastAsia="仿宋" w:hAnsi="仿宋" w:hint="eastAsia"/>
          <w:sz w:val="30"/>
          <w:szCs w:val="30"/>
        </w:rPr>
        <w:t>和</w:t>
      </w:r>
      <w:r>
        <w:rPr>
          <w:rFonts w:ascii="仿宋" w:eastAsia="仿宋" w:hAnsi="仿宋" w:hint="eastAsia"/>
          <w:sz w:val="30"/>
          <w:szCs w:val="30"/>
        </w:rPr>
        <w:t>评估证据，美国、欧盟等药品监管当局网站</w:t>
      </w:r>
      <w:r w:rsidR="0055708C">
        <w:rPr>
          <w:rFonts w:ascii="仿宋" w:eastAsia="仿宋" w:hAnsi="仿宋" w:hint="eastAsia"/>
          <w:sz w:val="30"/>
          <w:szCs w:val="30"/>
        </w:rPr>
        <w:t>经</w:t>
      </w:r>
      <w:r>
        <w:rPr>
          <w:rFonts w:ascii="仿宋" w:eastAsia="仿宋" w:hAnsi="仿宋" w:hint="eastAsia"/>
          <w:sz w:val="30"/>
          <w:szCs w:val="30"/>
        </w:rPr>
        <w:t>常会提供详细的评估资料和评估报告。药品监管部门公布的药品上市前审评报告、药品风险管理计划</w:t>
      </w:r>
      <w:r w:rsidR="00AE1103">
        <w:rPr>
          <w:rFonts w:ascii="仿宋" w:eastAsia="仿宋" w:hAnsi="仿宋" w:hint="eastAsia"/>
          <w:sz w:val="30"/>
          <w:szCs w:val="30"/>
        </w:rPr>
        <w:t>也</w:t>
      </w:r>
      <w:r w:rsidR="00AE1103">
        <w:rPr>
          <w:rFonts w:ascii="仿宋" w:eastAsia="仿宋" w:hAnsi="仿宋" w:hint="eastAsia"/>
          <w:sz w:val="30"/>
          <w:szCs w:val="30"/>
        </w:rPr>
        <w:lastRenderedPageBreak/>
        <w:t>可能提供较为全面的药品安全性</w:t>
      </w:r>
      <w:r w:rsidR="00B64973">
        <w:rPr>
          <w:rFonts w:ascii="仿宋" w:eastAsia="仿宋" w:hAnsi="仿宋" w:hint="eastAsia"/>
          <w:sz w:val="30"/>
          <w:szCs w:val="30"/>
        </w:rPr>
        <w:t>资料</w:t>
      </w:r>
      <w:r>
        <w:rPr>
          <w:rFonts w:ascii="仿宋" w:eastAsia="仿宋" w:hAnsi="仿宋" w:hint="eastAsia"/>
          <w:sz w:val="30"/>
          <w:szCs w:val="30"/>
        </w:rPr>
        <w:t>。</w:t>
      </w:r>
    </w:p>
    <w:p w14:paraId="59F3310D" w14:textId="77777777" w:rsidR="00983428" w:rsidRDefault="00983428" w:rsidP="00610C76">
      <w:pPr>
        <w:pStyle w:val="a7"/>
        <w:numPr>
          <w:ilvl w:val="1"/>
          <w:numId w:val="19"/>
        </w:numPr>
        <w:tabs>
          <w:tab w:val="left" w:pos="709"/>
        </w:tabs>
        <w:spacing w:line="540" w:lineRule="exact"/>
        <w:ind w:firstLineChars="0" w:hanging="5"/>
        <w:outlineLvl w:val="1"/>
        <w:rPr>
          <w:rFonts w:ascii="楷体" w:eastAsia="楷体" w:hAnsi="楷体"/>
          <w:sz w:val="30"/>
          <w:szCs w:val="30"/>
        </w:rPr>
      </w:pPr>
      <w:bookmarkStart w:id="8" w:name="_Toc177114410"/>
      <w:r w:rsidRPr="009A2980">
        <w:rPr>
          <w:rFonts w:ascii="楷体" w:eastAsia="楷体" w:hAnsi="楷体" w:hint="eastAsia"/>
          <w:sz w:val="30"/>
          <w:szCs w:val="30"/>
        </w:rPr>
        <w:t>其他</w:t>
      </w:r>
      <w:r w:rsidR="0015036A">
        <w:rPr>
          <w:rFonts w:ascii="楷体" w:eastAsia="楷体" w:hAnsi="楷体" w:hint="eastAsia"/>
          <w:sz w:val="30"/>
          <w:szCs w:val="30"/>
        </w:rPr>
        <w:t>来源</w:t>
      </w:r>
      <w:bookmarkEnd w:id="8"/>
    </w:p>
    <w:p w14:paraId="61ADAB9E" w14:textId="2FA052E8" w:rsidR="0022259E" w:rsidRDefault="00A3222B" w:rsidP="003D19D8">
      <w:pPr>
        <w:spacing w:line="540" w:lineRule="exact"/>
        <w:ind w:firstLineChars="202" w:firstLine="606"/>
        <w:rPr>
          <w:rFonts w:ascii="仿宋" w:eastAsia="仿宋" w:hAnsi="仿宋"/>
          <w:sz w:val="30"/>
          <w:szCs w:val="30"/>
        </w:rPr>
      </w:pPr>
      <w:r>
        <w:rPr>
          <w:rFonts w:ascii="仿宋" w:eastAsia="仿宋" w:hAnsi="仿宋" w:hint="eastAsia"/>
          <w:sz w:val="30"/>
          <w:szCs w:val="30"/>
        </w:rPr>
        <w:t>其他可以支持评价的信息资源还</w:t>
      </w:r>
      <w:r w:rsidR="00212103">
        <w:rPr>
          <w:rFonts w:ascii="仿宋" w:eastAsia="仿宋" w:hAnsi="仿宋" w:hint="eastAsia"/>
          <w:sz w:val="30"/>
          <w:szCs w:val="30"/>
        </w:rPr>
        <w:t>包括</w:t>
      </w:r>
      <w:r w:rsidR="0022259E" w:rsidRPr="0022259E">
        <w:rPr>
          <w:rFonts w:ascii="仿宋" w:eastAsia="仿宋" w:hAnsi="仿宋" w:hint="eastAsia"/>
          <w:sz w:val="30"/>
          <w:szCs w:val="30"/>
        </w:rPr>
        <w:t>权威</w:t>
      </w:r>
      <w:r w:rsidR="007B0B06">
        <w:rPr>
          <w:rFonts w:ascii="仿宋" w:eastAsia="仿宋" w:hAnsi="仿宋" w:hint="eastAsia"/>
          <w:sz w:val="30"/>
          <w:szCs w:val="30"/>
        </w:rPr>
        <w:t>医学或药学</w:t>
      </w:r>
      <w:r w:rsidR="0022259E" w:rsidRPr="0022259E">
        <w:rPr>
          <w:rFonts w:ascii="仿宋" w:eastAsia="仿宋" w:hAnsi="仿宋" w:hint="eastAsia"/>
          <w:sz w:val="30"/>
          <w:szCs w:val="30"/>
        </w:rPr>
        <w:t>书籍（如</w:t>
      </w:r>
      <w:r w:rsidR="00963236">
        <w:rPr>
          <w:rFonts w:ascii="仿宋" w:eastAsia="仿宋" w:hAnsi="仿宋" w:hint="eastAsia"/>
          <w:sz w:val="30"/>
          <w:szCs w:val="30"/>
        </w:rPr>
        <w:t>中国药典</w:t>
      </w:r>
      <w:r w:rsidR="006957AF">
        <w:rPr>
          <w:rFonts w:ascii="仿宋" w:eastAsia="仿宋" w:hAnsi="仿宋" w:hint="eastAsia"/>
          <w:sz w:val="30"/>
          <w:szCs w:val="30"/>
        </w:rPr>
        <w:t>临床用药须知、</w:t>
      </w:r>
      <w:r w:rsidR="00963236">
        <w:rPr>
          <w:rFonts w:ascii="仿宋" w:eastAsia="仿宋" w:hAnsi="仿宋" w:hint="eastAsia"/>
          <w:sz w:val="30"/>
          <w:szCs w:val="30"/>
        </w:rPr>
        <w:t>新编药物学、</w:t>
      </w:r>
      <w:r w:rsidR="0022259E" w:rsidRPr="0022259E">
        <w:rPr>
          <w:rFonts w:ascii="仿宋" w:eastAsia="仿宋" w:hAnsi="仿宋" w:hint="eastAsia"/>
          <w:sz w:val="30"/>
          <w:szCs w:val="30"/>
        </w:rPr>
        <w:t>马丁代</w:t>
      </w:r>
      <w:r w:rsidR="006957AF">
        <w:rPr>
          <w:rFonts w:ascii="仿宋" w:eastAsia="仿宋" w:hAnsi="仿宋" w:hint="eastAsia"/>
          <w:sz w:val="30"/>
          <w:szCs w:val="30"/>
        </w:rPr>
        <w:t>尔</w:t>
      </w:r>
      <w:r w:rsidR="0022259E" w:rsidRPr="0022259E">
        <w:rPr>
          <w:rFonts w:ascii="仿宋" w:eastAsia="仿宋" w:hAnsi="仿宋" w:hint="eastAsia"/>
          <w:sz w:val="30"/>
          <w:szCs w:val="30"/>
        </w:rPr>
        <w:t>大药典</w:t>
      </w:r>
      <w:r>
        <w:rPr>
          <w:rFonts w:ascii="仿宋" w:eastAsia="仿宋" w:hAnsi="仿宋" w:hint="eastAsia"/>
          <w:sz w:val="30"/>
          <w:szCs w:val="30"/>
        </w:rPr>
        <w:t>、医药学教科书</w:t>
      </w:r>
      <w:r w:rsidR="006957AF">
        <w:rPr>
          <w:rFonts w:ascii="仿宋" w:eastAsia="仿宋" w:hAnsi="仿宋" w:hint="eastAsia"/>
          <w:sz w:val="30"/>
          <w:szCs w:val="30"/>
        </w:rPr>
        <w:t>）</w:t>
      </w:r>
      <w:r w:rsidR="002D1A75">
        <w:rPr>
          <w:rFonts w:ascii="仿宋" w:eastAsia="仿宋" w:hAnsi="仿宋" w:hint="eastAsia"/>
          <w:sz w:val="30"/>
          <w:szCs w:val="30"/>
        </w:rPr>
        <w:t>，</w:t>
      </w:r>
      <w:r w:rsidR="0022259E" w:rsidRPr="0022259E">
        <w:rPr>
          <w:rFonts w:ascii="仿宋" w:eastAsia="仿宋" w:hAnsi="仿宋" w:hint="eastAsia"/>
          <w:sz w:val="30"/>
          <w:szCs w:val="30"/>
        </w:rPr>
        <w:t>临床医学指南或共识</w:t>
      </w:r>
      <w:r w:rsidR="002D1A75">
        <w:rPr>
          <w:rFonts w:ascii="仿宋" w:eastAsia="仿宋" w:hAnsi="仿宋" w:hint="eastAsia"/>
          <w:sz w:val="30"/>
          <w:szCs w:val="30"/>
        </w:rPr>
        <w:t>，</w:t>
      </w:r>
      <w:r w:rsidR="0022259E" w:rsidRPr="0022259E">
        <w:rPr>
          <w:rFonts w:ascii="仿宋" w:eastAsia="仿宋" w:hAnsi="仿宋" w:hint="eastAsia"/>
          <w:sz w:val="30"/>
          <w:szCs w:val="30"/>
        </w:rPr>
        <w:t>各类</w:t>
      </w:r>
      <w:r w:rsidR="000E2016">
        <w:rPr>
          <w:rFonts w:ascii="仿宋" w:eastAsia="仿宋" w:hAnsi="仿宋" w:hint="eastAsia"/>
          <w:sz w:val="30"/>
          <w:szCs w:val="30"/>
        </w:rPr>
        <w:t>医疗或药品</w:t>
      </w:r>
      <w:r w:rsidR="00212103">
        <w:rPr>
          <w:rFonts w:ascii="仿宋" w:eastAsia="仿宋" w:hAnsi="仿宋" w:hint="eastAsia"/>
          <w:sz w:val="30"/>
          <w:szCs w:val="30"/>
        </w:rPr>
        <w:t>数据库及其应用</w:t>
      </w:r>
      <w:r w:rsidR="0015036A">
        <w:rPr>
          <w:rFonts w:ascii="仿宋" w:eastAsia="仿宋" w:hAnsi="仿宋" w:hint="eastAsia"/>
          <w:sz w:val="30"/>
          <w:szCs w:val="30"/>
        </w:rPr>
        <w:t>软件等</w:t>
      </w:r>
      <w:r w:rsidR="0022259E" w:rsidRPr="0022259E">
        <w:rPr>
          <w:rFonts w:ascii="仿宋" w:eastAsia="仿宋" w:hAnsi="仿宋" w:hint="eastAsia"/>
          <w:sz w:val="30"/>
          <w:szCs w:val="30"/>
        </w:rPr>
        <w:t>。</w:t>
      </w:r>
    </w:p>
    <w:p w14:paraId="72D42876" w14:textId="3DB56F0E" w:rsidR="00666425" w:rsidRDefault="007251E8" w:rsidP="00610C76">
      <w:pPr>
        <w:pStyle w:val="a7"/>
        <w:numPr>
          <w:ilvl w:val="0"/>
          <w:numId w:val="18"/>
        </w:numPr>
        <w:spacing w:line="540" w:lineRule="exact"/>
        <w:ind w:firstLineChars="0" w:firstLine="207"/>
        <w:outlineLvl w:val="0"/>
        <w:rPr>
          <w:rFonts w:ascii="黑体" w:eastAsia="黑体" w:hAnsi="黑体"/>
          <w:sz w:val="30"/>
          <w:szCs w:val="30"/>
        </w:rPr>
      </w:pPr>
      <w:bookmarkStart w:id="9" w:name="_Toc177114411"/>
      <w:r>
        <w:rPr>
          <w:rFonts w:ascii="黑体" w:eastAsia="黑体" w:hAnsi="黑体" w:hint="eastAsia"/>
          <w:sz w:val="30"/>
          <w:szCs w:val="30"/>
        </w:rPr>
        <w:t>评价</w:t>
      </w:r>
      <w:r w:rsidR="00666425">
        <w:rPr>
          <w:rFonts w:ascii="黑体" w:eastAsia="黑体" w:hAnsi="黑体" w:hint="eastAsia"/>
          <w:sz w:val="30"/>
          <w:szCs w:val="30"/>
        </w:rPr>
        <w:t>考虑要素</w:t>
      </w:r>
      <w:bookmarkEnd w:id="9"/>
    </w:p>
    <w:p w14:paraId="769D5549" w14:textId="0919317C" w:rsidR="00DD2069" w:rsidRDefault="009224DA" w:rsidP="00D71FF6">
      <w:pPr>
        <w:spacing w:line="540" w:lineRule="exact"/>
        <w:ind w:firstLineChars="236" w:firstLine="708"/>
        <w:rPr>
          <w:rFonts w:ascii="仿宋" w:eastAsia="仿宋" w:hAnsi="仿宋"/>
          <w:sz w:val="30"/>
          <w:szCs w:val="30"/>
        </w:rPr>
      </w:pPr>
      <w:r w:rsidRPr="00E63F56">
        <w:rPr>
          <w:rFonts w:ascii="仿宋" w:eastAsia="仿宋" w:hAnsi="仿宋" w:hint="eastAsia"/>
          <w:sz w:val="30"/>
          <w:szCs w:val="30"/>
        </w:rPr>
        <w:t>有</w:t>
      </w:r>
      <w:proofErr w:type="gramStart"/>
      <w:r w:rsidRPr="00E63F56">
        <w:rPr>
          <w:rFonts w:ascii="仿宋" w:eastAsia="仿宋" w:hAnsi="仿宋" w:hint="eastAsia"/>
          <w:sz w:val="30"/>
          <w:szCs w:val="30"/>
        </w:rPr>
        <w:t>因评价</w:t>
      </w:r>
      <w:proofErr w:type="gramEnd"/>
      <w:r w:rsidRPr="00E63F56">
        <w:rPr>
          <w:rFonts w:ascii="仿宋" w:eastAsia="仿宋" w:hAnsi="仿宋" w:hint="eastAsia"/>
          <w:sz w:val="30"/>
          <w:szCs w:val="30"/>
        </w:rPr>
        <w:t>主要围绕“因”开展，即目标的确定、信息的</w:t>
      </w:r>
      <w:r w:rsidRPr="00695F6B">
        <w:rPr>
          <w:rFonts w:ascii="仿宋" w:eastAsia="仿宋" w:hAnsi="仿宋" w:hint="eastAsia"/>
          <w:sz w:val="30"/>
          <w:szCs w:val="30"/>
        </w:rPr>
        <w:t>收集、证据资料的审查和分析等过程均应当围绕暴露的安全性问题进行，</w:t>
      </w:r>
      <w:r w:rsidR="00F367FB">
        <w:rPr>
          <w:rFonts w:ascii="仿宋" w:eastAsia="仿宋" w:hAnsi="仿宋" w:hint="eastAsia"/>
          <w:sz w:val="30"/>
          <w:szCs w:val="30"/>
        </w:rPr>
        <w:t>评价</w:t>
      </w:r>
      <w:r w:rsidRPr="00695F6B">
        <w:rPr>
          <w:rFonts w:ascii="仿宋" w:eastAsia="仿宋" w:hAnsi="仿宋" w:hint="eastAsia"/>
          <w:sz w:val="30"/>
          <w:szCs w:val="30"/>
        </w:rPr>
        <w:t>结论及风险</w:t>
      </w:r>
      <w:r w:rsidR="00417D6E">
        <w:rPr>
          <w:rFonts w:ascii="仿宋" w:eastAsia="仿宋" w:hAnsi="仿宋" w:hint="eastAsia"/>
          <w:sz w:val="30"/>
          <w:szCs w:val="30"/>
        </w:rPr>
        <w:t>管理措施</w:t>
      </w:r>
      <w:r w:rsidRPr="00695F6B">
        <w:rPr>
          <w:rFonts w:ascii="仿宋" w:eastAsia="仿宋" w:hAnsi="仿宋" w:hint="eastAsia"/>
          <w:sz w:val="30"/>
          <w:szCs w:val="30"/>
        </w:rPr>
        <w:t>也应当体现对关注问题的观点和解决方案。</w:t>
      </w:r>
      <w:r w:rsidR="00374C3A">
        <w:rPr>
          <w:rFonts w:ascii="仿宋" w:eastAsia="仿宋" w:hAnsi="仿宋" w:hint="eastAsia"/>
          <w:sz w:val="30"/>
          <w:szCs w:val="30"/>
        </w:rPr>
        <w:t>本指导原则提供</w:t>
      </w:r>
      <w:r w:rsidR="002A7431">
        <w:rPr>
          <w:rFonts w:ascii="仿宋" w:eastAsia="仿宋" w:hAnsi="仿宋" w:hint="eastAsia"/>
          <w:sz w:val="30"/>
          <w:szCs w:val="30"/>
        </w:rPr>
        <w:t>了</w:t>
      </w:r>
      <w:r w:rsidR="00470980">
        <w:rPr>
          <w:rFonts w:ascii="仿宋" w:eastAsia="仿宋" w:hAnsi="仿宋" w:hint="eastAsia"/>
          <w:sz w:val="30"/>
          <w:szCs w:val="30"/>
        </w:rPr>
        <w:t>安全性评价中</w:t>
      </w:r>
      <w:r w:rsidR="002A7431">
        <w:rPr>
          <w:rFonts w:ascii="仿宋" w:eastAsia="仿宋" w:hAnsi="仿宋" w:hint="eastAsia"/>
          <w:sz w:val="30"/>
          <w:szCs w:val="30"/>
        </w:rPr>
        <w:t>一些常见</w:t>
      </w:r>
      <w:r w:rsidR="00374C3A">
        <w:rPr>
          <w:rFonts w:ascii="仿宋" w:eastAsia="仿宋" w:hAnsi="仿宋" w:hint="eastAsia"/>
          <w:sz w:val="30"/>
          <w:szCs w:val="30"/>
        </w:rPr>
        <w:t>问题</w:t>
      </w:r>
      <w:r w:rsidR="002A7431">
        <w:rPr>
          <w:rFonts w:ascii="仿宋" w:eastAsia="仿宋" w:hAnsi="仿宋" w:hint="eastAsia"/>
          <w:sz w:val="30"/>
          <w:szCs w:val="30"/>
        </w:rPr>
        <w:t>的考虑要</w:t>
      </w:r>
      <w:r w:rsidR="00374C3A">
        <w:rPr>
          <w:rFonts w:ascii="仿宋" w:eastAsia="仿宋" w:hAnsi="仿宋" w:hint="eastAsia"/>
          <w:sz w:val="30"/>
          <w:szCs w:val="30"/>
        </w:rPr>
        <w:t>素，</w:t>
      </w:r>
      <w:r w:rsidR="002A7431">
        <w:rPr>
          <w:rFonts w:ascii="仿宋" w:eastAsia="仿宋" w:hAnsi="仿宋" w:hint="eastAsia"/>
          <w:sz w:val="30"/>
          <w:szCs w:val="30"/>
        </w:rPr>
        <w:t>但并不能涵盖所有问题及</w:t>
      </w:r>
      <w:proofErr w:type="gramStart"/>
      <w:r w:rsidR="002A7431">
        <w:rPr>
          <w:rFonts w:ascii="仿宋" w:eastAsia="仿宋" w:hAnsi="仿宋" w:hint="eastAsia"/>
          <w:sz w:val="30"/>
          <w:szCs w:val="30"/>
        </w:rPr>
        <w:t>考量</w:t>
      </w:r>
      <w:proofErr w:type="gramEnd"/>
      <w:r w:rsidR="002A7431">
        <w:rPr>
          <w:rFonts w:ascii="仿宋" w:eastAsia="仿宋" w:hAnsi="仿宋" w:hint="eastAsia"/>
          <w:sz w:val="30"/>
          <w:szCs w:val="30"/>
        </w:rPr>
        <w:t>。</w:t>
      </w:r>
      <w:r w:rsidR="00417D6E">
        <w:rPr>
          <w:rFonts w:ascii="仿宋" w:eastAsia="仿宋" w:hAnsi="仿宋" w:hint="eastAsia"/>
          <w:sz w:val="30"/>
          <w:szCs w:val="30"/>
        </w:rPr>
        <w:t>评价人员</w:t>
      </w:r>
      <w:r w:rsidR="002A7431">
        <w:rPr>
          <w:rFonts w:ascii="仿宋" w:eastAsia="仿宋" w:hAnsi="仿宋" w:hint="eastAsia"/>
          <w:sz w:val="30"/>
          <w:szCs w:val="30"/>
        </w:rPr>
        <w:t>在评价过程中</w:t>
      </w:r>
      <w:r w:rsidR="00D71FF6" w:rsidRPr="0082323D">
        <w:rPr>
          <w:rFonts w:ascii="仿宋" w:eastAsia="仿宋" w:hAnsi="仿宋" w:hint="eastAsia"/>
          <w:sz w:val="30"/>
          <w:szCs w:val="30"/>
        </w:rPr>
        <w:t>应积极思考、大胆假设、科学求证、谨慎归因，以高度责任感开展安全性评价工作。</w:t>
      </w:r>
    </w:p>
    <w:p w14:paraId="5021217D" w14:textId="591B2B51" w:rsidR="00666425" w:rsidRPr="00AA63EA" w:rsidRDefault="00666425" w:rsidP="00610C76">
      <w:pPr>
        <w:pStyle w:val="a7"/>
        <w:numPr>
          <w:ilvl w:val="1"/>
          <w:numId w:val="20"/>
        </w:numPr>
        <w:tabs>
          <w:tab w:val="left" w:pos="709"/>
        </w:tabs>
        <w:spacing w:line="540" w:lineRule="exact"/>
        <w:ind w:firstLineChars="0" w:hanging="5"/>
        <w:outlineLvl w:val="1"/>
        <w:rPr>
          <w:rFonts w:ascii="楷体" w:eastAsia="楷体" w:hAnsi="楷体"/>
          <w:sz w:val="30"/>
          <w:szCs w:val="30"/>
        </w:rPr>
      </w:pPr>
      <w:bookmarkStart w:id="10" w:name="_Toc177114412"/>
      <w:r w:rsidRPr="00AA63EA">
        <w:rPr>
          <w:rFonts w:ascii="楷体" w:eastAsia="楷体" w:hAnsi="楷体" w:hint="eastAsia"/>
          <w:sz w:val="30"/>
          <w:szCs w:val="30"/>
        </w:rPr>
        <w:t>评价</w:t>
      </w:r>
      <w:r w:rsidR="00BE07C6">
        <w:rPr>
          <w:rFonts w:ascii="楷体" w:eastAsia="楷体" w:hAnsi="楷体" w:hint="eastAsia"/>
          <w:sz w:val="30"/>
          <w:szCs w:val="30"/>
        </w:rPr>
        <w:t>非预期不良事件</w:t>
      </w:r>
      <w:bookmarkEnd w:id="10"/>
    </w:p>
    <w:p w14:paraId="4E1B8E72" w14:textId="157C1425" w:rsidR="00666425" w:rsidRDefault="00461292" w:rsidP="00C725E3">
      <w:pPr>
        <w:spacing w:line="540" w:lineRule="exact"/>
        <w:ind w:firstLineChars="202" w:firstLine="606"/>
        <w:rPr>
          <w:rFonts w:ascii="仿宋" w:eastAsia="仿宋" w:hAnsi="仿宋"/>
          <w:sz w:val="30"/>
          <w:szCs w:val="30"/>
        </w:rPr>
      </w:pPr>
      <w:r>
        <w:rPr>
          <w:rFonts w:ascii="仿宋" w:eastAsia="仿宋" w:hAnsi="仿宋" w:hint="eastAsia"/>
          <w:sz w:val="30"/>
          <w:szCs w:val="30"/>
        </w:rPr>
        <w:t>对于非预期不良事件，</w:t>
      </w:r>
      <w:proofErr w:type="gramStart"/>
      <w:r w:rsidR="00BE07C6">
        <w:rPr>
          <w:rFonts w:ascii="仿宋" w:eastAsia="仿宋" w:hAnsi="仿宋" w:hint="eastAsia"/>
          <w:sz w:val="30"/>
          <w:szCs w:val="30"/>
        </w:rPr>
        <w:t>个例报告</w:t>
      </w:r>
      <w:proofErr w:type="gramEnd"/>
      <w:r w:rsidR="00BE07C6">
        <w:rPr>
          <w:rFonts w:ascii="仿宋" w:eastAsia="仿宋" w:hAnsi="仿宋" w:hint="eastAsia"/>
          <w:sz w:val="30"/>
          <w:szCs w:val="30"/>
        </w:rPr>
        <w:t>的</w:t>
      </w:r>
      <w:r w:rsidR="009112EC">
        <w:rPr>
          <w:rFonts w:ascii="仿宋" w:eastAsia="仿宋" w:hAnsi="仿宋" w:hint="eastAsia"/>
          <w:sz w:val="30"/>
          <w:szCs w:val="30"/>
        </w:rPr>
        <w:t>因果关系评价</w:t>
      </w:r>
      <w:r w:rsidR="00BE07C6">
        <w:rPr>
          <w:rFonts w:ascii="仿宋" w:eastAsia="仿宋" w:hAnsi="仿宋" w:hint="eastAsia"/>
          <w:sz w:val="30"/>
          <w:szCs w:val="30"/>
        </w:rPr>
        <w:t>是基础</w:t>
      </w:r>
      <w:r w:rsidR="00666425">
        <w:rPr>
          <w:rFonts w:ascii="仿宋" w:eastAsia="仿宋" w:hAnsi="仿宋" w:hint="eastAsia"/>
          <w:sz w:val="30"/>
          <w:szCs w:val="30"/>
        </w:rPr>
        <w:t>。在评价过程中</w:t>
      </w:r>
      <w:r w:rsidR="00666425" w:rsidRPr="001615A2">
        <w:rPr>
          <w:rFonts w:ascii="仿宋" w:eastAsia="仿宋" w:hAnsi="仿宋"/>
          <w:sz w:val="30"/>
          <w:szCs w:val="30"/>
        </w:rPr>
        <w:t>应当</w:t>
      </w:r>
      <w:r w:rsidR="00666425" w:rsidRPr="00F21FB9">
        <w:rPr>
          <w:rFonts w:ascii="仿宋" w:eastAsia="仿宋" w:hAnsi="仿宋"/>
          <w:sz w:val="30"/>
          <w:szCs w:val="30"/>
        </w:rPr>
        <w:t>尽</w:t>
      </w:r>
      <w:r w:rsidR="00666425" w:rsidRPr="00F21FB9">
        <w:rPr>
          <w:rFonts w:ascii="仿宋" w:eastAsia="仿宋" w:hAnsi="仿宋" w:hint="eastAsia"/>
          <w:sz w:val="30"/>
          <w:szCs w:val="30"/>
        </w:rPr>
        <w:t>可能</w:t>
      </w:r>
      <w:r w:rsidR="00666425" w:rsidRPr="00F21FB9">
        <w:rPr>
          <w:rFonts w:ascii="仿宋" w:eastAsia="仿宋" w:hAnsi="仿宋"/>
          <w:sz w:val="30"/>
          <w:szCs w:val="30"/>
        </w:rPr>
        <w:t>收集相关病例</w:t>
      </w:r>
      <w:r w:rsidR="00666425">
        <w:rPr>
          <w:rFonts w:ascii="仿宋" w:eastAsia="仿宋" w:hAnsi="仿宋" w:hint="eastAsia"/>
          <w:sz w:val="30"/>
          <w:szCs w:val="30"/>
        </w:rPr>
        <w:t>，包括</w:t>
      </w:r>
      <w:r w:rsidR="003828A0">
        <w:rPr>
          <w:rFonts w:ascii="仿宋" w:eastAsia="仿宋" w:hAnsi="仿宋" w:hint="eastAsia"/>
          <w:sz w:val="30"/>
          <w:szCs w:val="30"/>
        </w:rPr>
        <w:t>药物警戒</w:t>
      </w:r>
      <w:r w:rsidR="00666425">
        <w:rPr>
          <w:rFonts w:ascii="仿宋" w:eastAsia="仿宋" w:hAnsi="仿宋" w:hint="eastAsia"/>
          <w:sz w:val="30"/>
          <w:szCs w:val="30"/>
        </w:rPr>
        <w:t>数据库</w:t>
      </w:r>
      <w:r w:rsidR="00666425" w:rsidRPr="001615A2">
        <w:rPr>
          <w:rFonts w:ascii="仿宋" w:eastAsia="仿宋" w:hAnsi="仿宋"/>
          <w:sz w:val="30"/>
          <w:szCs w:val="30"/>
        </w:rPr>
        <w:t>、文献</w:t>
      </w:r>
      <w:r w:rsidR="00666425">
        <w:rPr>
          <w:rFonts w:ascii="仿宋" w:eastAsia="仿宋" w:hAnsi="仿宋" w:hint="eastAsia"/>
          <w:sz w:val="30"/>
          <w:szCs w:val="30"/>
        </w:rPr>
        <w:t>以及其他来源的病例，</w:t>
      </w:r>
      <w:r w:rsidR="007251E8" w:rsidRPr="007251E8">
        <w:rPr>
          <w:rFonts w:ascii="仿宋" w:eastAsia="仿宋" w:hAnsi="仿宋" w:hint="eastAsia"/>
          <w:sz w:val="30"/>
          <w:szCs w:val="30"/>
        </w:rPr>
        <w:t>逐一进行因果关系评价。</w:t>
      </w:r>
      <w:r w:rsidR="00666425" w:rsidRPr="00584DCF">
        <w:rPr>
          <w:rFonts w:ascii="仿宋" w:eastAsia="仿宋" w:hAnsi="仿宋" w:hint="eastAsia"/>
          <w:sz w:val="30"/>
          <w:szCs w:val="30"/>
        </w:rPr>
        <w:t>因果关系评价应当遵</w:t>
      </w:r>
      <w:r w:rsidR="000E5FC7">
        <w:rPr>
          <w:rFonts w:ascii="仿宋" w:eastAsia="仿宋" w:hAnsi="仿宋" w:hint="eastAsia"/>
          <w:sz w:val="30"/>
          <w:szCs w:val="30"/>
        </w:rPr>
        <w:t>循科学、客观的原则，不能将基础疾病、合并用药、信息不全等因素全部</w:t>
      </w:r>
      <w:r w:rsidR="00666425" w:rsidRPr="00584DCF">
        <w:rPr>
          <w:rFonts w:ascii="仿宋" w:eastAsia="仿宋" w:hAnsi="仿宋" w:hint="eastAsia"/>
          <w:sz w:val="30"/>
          <w:szCs w:val="30"/>
        </w:rPr>
        <w:t>作为排除</w:t>
      </w:r>
      <w:r w:rsidR="00666425">
        <w:rPr>
          <w:rFonts w:ascii="仿宋" w:eastAsia="仿宋" w:hAnsi="仿宋" w:hint="eastAsia"/>
          <w:sz w:val="30"/>
          <w:szCs w:val="30"/>
        </w:rPr>
        <w:t>因果关系的</w:t>
      </w:r>
      <w:r w:rsidR="00C533AE">
        <w:rPr>
          <w:rFonts w:ascii="仿宋" w:eastAsia="仿宋" w:hAnsi="仿宋" w:hint="eastAsia"/>
          <w:sz w:val="30"/>
          <w:szCs w:val="30"/>
        </w:rPr>
        <w:t>标准</w:t>
      </w:r>
      <w:r w:rsidR="00666425" w:rsidRPr="00584DCF">
        <w:rPr>
          <w:rFonts w:ascii="仿宋" w:eastAsia="仿宋" w:hAnsi="仿宋" w:hint="eastAsia"/>
          <w:sz w:val="30"/>
          <w:szCs w:val="30"/>
        </w:rPr>
        <w:t>。在</w:t>
      </w:r>
      <w:r w:rsidR="00666425">
        <w:rPr>
          <w:rFonts w:ascii="仿宋" w:eastAsia="仿宋" w:hAnsi="仿宋" w:hint="eastAsia"/>
          <w:sz w:val="30"/>
          <w:szCs w:val="30"/>
        </w:rPr>
        <w:t>相关</w:t>
      </w:r>
      <w:r w:rsidR="00666425" w:rsidRPr="00584DCF">
        <w:rPr>
          <w:rFonts w:ascii="仿宋" w:eastAsia="仿宋" w:hAnsi="仿宋" w:hint="eastAsia"/>
          <w:sz w:val="30"/>
          <w:szCs w:val="30"/>
        </w:rPr>
        <w:t>信息不足以支持评价的情况，原则上选择信任报告</w:t>
      </w:r>
      <w:r w:rsidR="00666425">
        <w:rPr>
          <w:rFonts w:ascii="仿宋" w:eastAsia="仿宋" w:hAnsi="仿宋" w:hint="eastAsia"/>
          <w:sz w:val="30"/>
          <w:szCs w:val="30"/>
        </w:rPr>
        <w:t>者</w:t>
      </w:r>
      <w:r w:rsidR="00666425" w:rsidRPr="00584DCF">
        <w:rPr>
          <w:rFonts w:ascii="仿宋" w:eastAsia="仿宋" w:hAnsi="仿宋" w:hint="eastAsia"/>
          <w:sz w:val="30"/>
          <w:szCs w:val="30"/>
        </w:rPr>
        <w:t>的评价意见。关联性评价是医学层面的评价，应当由具备适当医</w:t>
      </w:r>
      <w:r w:rsidR="00666425">
        <w:rPr>
          <w:rFonts w:ascii="仿宋" w:eastAsia="仿宋" w:hAnsi="仿宋" w:hint="eastAsia"/>
          <w:sz w:val="30"/>
          <w:szCs w:val="30"/>
        </w:rPr>
        <w:t>药</w:t>
      </w:r>
      <w:r w:rsidR="00666425" w:rsidRPr="00584DCF">
        <w:rPr>
          <w:rFonts w:ascii="仿宋" w:eastAsia="仿宋" w:hAnsi="仿宋" w:hint="eastAsia"/>
          <w:sz w:val="30"/>
          <w:szCs w:val="30"/>
        </w:rPr>
        <w:t>学背景或资质的人员开展</w:t>
      </w:r>
      <w:r w:rsidR="00666425" w:rsidRPr="00F87890">
        <w:rPr>
          <w:rFonts w:ascii="仿宋" w:eastAsia="仿宋" w:hAnsi="仿宋" w:hint="eastAsia"/>
          <w:sz w:val="30"/>
          <w:szCs w:val="30"/>
        </w:rPr>
        <w:t>。</w:t>
      </w:r>
    </w:p>
    <w:p w14:paraId="6C7BD9C2" w14:textId="7A57DB5C" w:rsidR="00D56EFA" w:rsidRDefault="000804C6" w:rsidP="00666425">
      <w:pPr>
        <w:spacing w:line="540" w:lineRule="exact"/>
        <w:ind w:firstLineChars="202" w:firstLine="606"/>
        <w:rPr>
          <w:rFonts w:ascii="仿宋" w:eastAsia="仿宋" w:hAnsi="仿宋"/>
          <w:sz w:val="30"/>
          <w:szCs w:val="30"/>
        </w:rPr>
      </w:pPr>
      <w:r w:rsidRPr="000804C6">
        <w:rPr>
          <w:rFonts w:ascii="仿宋" w:eastAsia="仿宋" w:hAnsi="仿宋" w:hint="eastAsia"/>
          <w:sz w:val="30"/>
          <w:szCs w:val="30"/>
        </w:rPr>
        <w:t>除个例</w:t>
      </w:r>
      <w:r w:rsidR="00D56EFA">
        <w:rPr>
          <w:rFonts w:ascii="仿宋" w:eastAsia="仿宋" w:hAnsi="仿宋" w:hint="eastAsia"/>
          <w:sz w:val="30"/>
          <w:szCs w:val="30"/>
        </w:rPr>
        <w:t>因果关系</w:t>
      </w:r>
      <w:r>
        <w:rPr>
          <w:rFonts w:ascii="仿宋" w:eastAsia="仿宋" w:hAnsi="仿宋" w:hint="eastAsia"/>
          <w:sz w:val="30"/>
          <w:szCs w:val="30"/>
        </w:rPr>
        <w:t>评价外，</w:t>
      </w:r>
      <w:r w:rsidR="00271E72">
        <w:rPr>
          <w:rFonts w:ascii="仿宋" w:eastAsia="仿宋" w:hAnsi="仿宋" w:hint="eastAsia"/>
          <w:sz w:val="30"/>
          <w:szCs w:val="30"/>
        </w:rPr>
        <w:t>还应</w:t>
      </w:r>
      <w:r>
        <w:rPr>
          <w:rFonts w:ascii="仿宋" w:eastAsia="仿宋" w:hAnsi="仿宋" w:hint="eastAsia"/>
          <w:sz w:val="30"/>
          <w:szCs w:val="30"/>
        </w:rPr>
        <w:t>对</w:t>
      </w:r>
      <w:r w:rsidR="00271E72">
        <w:rPr>
          <w:rFonts w:ascii="仿宋" w:eastAsia="仿宋" w:hAnsi="仿宋" w:hint="eastAsia"/>
          <w:sz w:val="30"/>
          <w:szCs w:val="30"/>
        </w:rPr>
        <w:t>关注病例进行</w:t>
      </w:r>
      <w:r w:rsidR="008E189A">
        <w:rPr>
          <w:rFonts w:ascii="仿宋" w:eastAsia="仿宋" w:hAnsi="仿宋" w:hint="eastAsia"/>
          <w:sz w:val="30"/>
          <w:szCs w:val="30"/>
        </w:rPr>
        <w:t>详细的</w:t>
      </w:r>
      <w:r w:rsidR="00D56EFA">
        <w:rPr>
          <w:rFonts w:ascii="仿宋" w:eastAsia="仿宋" w:hAnsi="仿宋" w:hint="eastAsia"/>
          <w:sz w:val="30"/>
          <w:szCs w:val="30"/>
        </w:rPr>
        <w:t>汇总</w:t>
      </w:r>
      <w:r>
        <w:rPr>
          <w:rFonts w:ascii="仿宋" w:eastAsia="仿宋" w:hAnsi="仿宋" w:hint="eastAsia"/>
          <w:sz w:val="30"/>
          <w:szCs w:val="30"/>
        </w:rPr>
        <w:t>分析，</w:t>
      </w:r>
      <w:r w:rsidR="00271E72">
        <w:rPr>
          <w:rFonts w:ascii="仿宋" w:eastAsia="仿宋" w:hAnsi="仿宋" w:hint="eastAsia"/>
          <w:sz w:val="30"/>
          <w:szCs w:val="30"/>
        </w:rPr>
        <w:t>了解患者特征（</w:t>
      </w:r>
      <w:r w:rsidR="00CE14AD">
        <w:rPr>
          <w:rFonts w:ascii="仿宋" w:eastAsia="仿宋" w:hAnsi="仿宋" w:hint="eastAsia"/>
          <w:sz w:val="30"/>
          <w:szCs w:val="30"/>
        </w:rPr>
        <w:t>如</w:t>
      </w:r>
      <w:r w:rsidR="00271E72">
        <w:rPr>
          <w:rFonts w:ascii="仿宋" w:eastAsia="仿宋" w:hAnsi="仿宋" w:hint="eastAsia"/>
          <w:sz w:val="30"/>
          <w:szCs w:val="30"/>
        </w:rPr>
        <w:t>年龄、基础疾病、既往病史</w:t>
      </w:r>
      <w:r w:rsidR="00CE14AD">
        <w:rPr>
          <w:rFonts w:ascii="仿宋" w:eastAsia="仿宋" w:hAnsi="仿宋" w:hint="eastAsia"/>
          <w:sz w:val="30"/>
          <w:szCs w:val="30"/>
        </w:rPr>
        <w:t>等</w:t>
      </w:r>
      <w:r w:rsidR="00271E72">
        <w:rPr>
          <w:rFonts w:ascii="仿宋" w:eastAsia="仿宋" w:hAnsi="仿宋" w:hint="eastAsia"/>
          <w:sz w:val="30"/>
          <w:szCs w:val="30"/>
        </w:rPr>
        <w:t>）</w:t>
      </w:r>
      <w:r w:rsidR="00CE14AD">
        <w:rPr>
          <w:rFonts w:ascii="仿宋" w:eastAsia="仿宋" w:hAnsi="仿宋" w:hint="eastAsia"/>
          <w:sz w:val="30"/>
          <w:szCs w:val="30"/>
        </w:rPr>
        <w:t>、用药特征</w:t>
      </w:r>
      <w:r w:rsidR="00CE14AD">
        <w:rPr>
          <w:rFonts w:ascii="仿宋" w:eastAsia="仿宋" w:hAnsi="仿宋" w:hint="eastAsia"/>
          <w:sz w:val="30"/>
          <w:szCs w:val="30"/>
        </w:rPr>
        <w:lastRenderedPageBreak/>
        <w:t>（如使用方法、暴露剂量）、</w:t>
      </w:r>
      <w:r w:rsidR="009C0202">
        <w:rPr>
          <w:rFonts w:ascii="仿宋" w:eastAsia="仿宋" w:hAnsi="仿宋" w:hint="eastAsia"/>
          <w:sz w:val="30"/>
          <w:szCs w:val="30"/>
        </w:rPr>
        <w:t>不良事件特征（如严重性、临床表现、预</w:t>
      </w:r>
      <w:r w:rsidR="00271E72">
        <w:rPr>
          <w:rFonts w:ascii="仿宋" w:eastAsia="仿宋" w:hAnsi="仿宋" w:hint="eastAsia"/>
          <w:sz w:val="30"/>
          <w:szCs w:val="30"/>
        </w:rPr>
        <w:t>后）</w:t>
      </w:r>
      <w:r w:rsidR="008E189A">
        <w:rPr>
          <w:rFonts w:ascii="仿宋" w:eastAsia="仿宋" w:hAnsi="仿宋" w:hint="eastAsia"/>
          <w:sz w:val="30"/>
          <w:szCs w:val="30"/>
        </w:rPr>
        <w:t>，</w:t>
      </w:r>
      <w:r w:rsidR="00271E72">
        <w:rPr>
          <w:rFonts w:ascii="仿宋" w:eastAsia="仿宋" w:hAnsi="仿宋" w:hint="eastAsia"/>
          <w:sz w:val="30"/>
          <w:szCs w:val="30"/>
        </w:rPr>
        <w:t>分析可能的影响因素</w:t>
      </w:r>
      <w:r w:rsidR="008E189A">
        <w:rPr>
          <w:rFonts w:ascii="仿宋" w:eastAsia="仿宋" w:hAnsi="仿宋" w:hint="eastAsia"/>
          <w:sz w:val="30"/>
          <w:szCs w:val="30"/>
        </w:rPr>
        <w:t>。此外，</w:t>
      </w:r>
      <w:r w:rsidRPr="00A55569">
        <w:rPr>
          <w:rFonts w:ascii="仿宋" w:eastAsia="仿宋" w:hAnsi="仿宋" w:hint="eastAsia"/>
          <w:sz w:val="30"/>
          <w:szCs w:val="30"/>
        </w:rPr>
        <w:t>对</w:t>
      </w:r>
      <w:r w:rsidR="00D56EFA">
        <w:rPr>
          <w:rFonts w:ascii="仿宋" w:eastAsia="仿宋" w:hAnsi="仿宋" w:hint="eastAsia"/>
          <w:sz w:val="30"/>
          <w:szCs w:val="30"/>
        </w:rPr>
        <w:t>被评价</w:t>
      </w:r>
      <w:r w:rsidRPr="00A55569">
        <w:rPr>
          <w:rFonts w:ascii="仿宋" w:eastAsia="仿宋" w:hAnsi="仿宋" w:hint="eastAsia"/>
          <w:sz w:val="30"/>
          <w:szCs w:val="30"/>
        </w:rPr>
        <w:t>药品</w:t>
      </w:r>
      <w:r w:rsidR="00D56EFA">
        <w:rPr>
          <w:rFonts w:ascii="仿宋" w:eastAsia="仿宋" w:hAnsi="仿宋" w:hint="eastAsia"/>
          <w:sz w:val="30"/>
          <w:szCs w:val="30"/>
        </w:rPr>
        <w:t>的所有不良反应进行统计</w:t>
      </w:r>
      <w:r w:rsidRPr="00A55569">
        <w:rPr>
          <w:rFonts w:ascii="仿宋" w:eastAsia="仿宋" w:hAnsi="仿宋"/>
          <w:sz w:val="30"/>
          <w:szCs w:val="30"/>
        </w:rPr>
        <w:t>分析，也有助于</w:t>
      </w:r>
      <w:r w:rsidR="00D56EFA">
        <w:rPr>
          <w:rFonts w:ascii="仿宋" w:eastAsia="仿宋" w:hAnsi="仿宋" w:hint="eastAsia"/>
          <w:sz w:val="30"/>
          <w:szCs w:val="30"/>
        </w:rPr>
        <w:t>对非预期不良事件的理解</w:t>
      </w:r>
      <w:r w:rsidRPr="00A55569">
        <w:rPr>
          <w:rFonts w:ascii="仿宋" w:eastAsia="仿宋" w:hAnsi="仿宋"/>
          <w:sz w:val="30"/>
          <w:szCs w:val="30"/>
        </w:rPr>
        <w:t>，例如</w:t>
      </w:r>
      <w:r>
        <w:rPr>
          <w:rFonts w:ascii="仿宋" w:eastAsia="仿宋" w:hAnsi="仿宋" w:hint="eastAsia"/>
          <w:sz w:val="30"/>
          <w:szCs w:val="30"/>
        </w:rPr>
        <w:t>总体和严重报告数量</w:t>
      </w:r>
      <w:r w:rsidR="0047571F">
        <w:rPr>
          <w:rFonts w:ascii="仿宋" w:eastAsia="仿宋" w:hAnsi="仿宋" w:hint="eastAsia"/>
          <w:sz w:val="30"/>
          <w:szCs w:val="30"/>
        </w:rPr>
        <w:t>及</w:t>
      </w:r>
      <w:r>
        <w:rPr>
          <w:rFonts w:ascii="仿宋" w:eastAsia="仿宋" w:hAnsi="仿宋" w:hint="eastAsia"/>
          <w:sz w:val="30"/>
          <w:szCs w:val="30"/>
        </w:rPr>
        <w:t>变化趋势、严重和死亡报告占比，不良反应累及</w:t>
      </w:r>
      <w:r w:rsidR="0047571F">
        <w:rPr>
          <w:rFonts w:ascii="仿宋" w:eastAsia="仿宋" w:hAnsi="仿宋" w:hint="eastAsia"/>
          <w:sz w:val="30"/>
          <w:szCs w:val="30"/>
        </w:rPr>
        <w:t>器官</w:t>
      </w:r>
      <w:r>
        <w:rPr>
          <w:rFonts w:ascii="仿宋" w:eastAsia="仿宋" w:hAnsi="仿宋" w:hint="eastAsia"/>
          <w:sz w:val="30"/>
          <w:szCs w:val="30"/>
        </w:rPr>
        <w:t>系统</w:t>
      </w:r>
      <w:r w:rsidR="00D56EFA">
        <w:rPr>
          <w:rFonts w:ascii="仿宋" w:eastAsia="仿宋" w:hAnsi="仿宋" w:hint="eastAsia"/>
          <w:sz w:val="30"/>
          <w:szCs w:val="30"/>
        </w:rPr>
        <w:t>及占比</w:t>
      </w:r>
      <w:r>
        <w:rPr>
          <w:rFonts w:ascii="仿宋" w:eastAsia="仿宋" w:hAnsi="仿宋" w:hint="eastAsia"/>
          <w:sz w:val="30"/>
          <w:szCs w:val="30"/>
        </w:rPr>
        <w:t>、</w:t>
      </w:r>
      <w:r w:rsidR="00D56EFA">
        <w:rPr>
          <w:rFonts w:ascii="仿宋" w:eastAsia="仿宋" w:hAnsi="仿宋" w:hint="eastAsia"/>
          <w:sz w:val="30"/>
          <w:szCs w:val="30"/>
        </w:rPr>
        <w:t>各系统</w:t>
      </w:r>
      <w:r>
        <w:rPr>
          <w:rFonts w:ascii="仿宋" w:eastAsia="仿宋" w:hAnsi="仿宋" w:hint="eastAsia"/>
          <w:sz w:val="30"/>
          <w:szCs w:val="30"/>
        </w:rPr>
        <w:t>主要不良反应表现等</w:t>
      </w:r>
      <w:r w:rsidR="0047571F">
        <w:rPr>
          <w:rFonts w:ascii="仿宋" w:eastAsia="仿宋" w:hAnsi="仿宋"/>
          <w:sz w:val="30"/>
          <w:szCs w:val="30"/>
        </w:rPr>
        <w:t>。在可行的情况下，还可</w:t>
      </w:r>
      <w:r>
        <w:rPr>
          <w:rFonts w:ascii="仿宋" w:eastAsia="仿宋" w:hAnsi="仿宋" w:hint="eastAsia"/>
          <w:sz w:val="30"/>
          <w:szCs w:val="30"/>
        </w:rPr>
        <w:t>针对安全性问题</w:t>
      </w:r>
      <w:r w:rsidRPr="00A55569">
        <w:rPr>
          <w:rFonts w:ascii="仿宋" w:eastAsia="仿宋" w:hAnsi="仿宋"/>
          <w:sz w:val="30"/>
          <w:szCs w:val="30"/>
        </w:rPr>
        <w:t>将关注药品与同类药品进行比较，以获得更全面的证据资料。</w:t>
      </w:r>
    </w:p>
    <w:p w14:paraId="4F5B8C3C" w14:textId="612E94A0" w:rsidR="00B62DF5" w:rsidRDefault="000F4B64" w:rsidP="00666425">
      <w:pPr>
        <w:spacing w:line="540" w:lineRule="exact"/>
        <w:ind w:firstLineChars="202" w:firstLine="606"/>
        <w:rPr>
          <w:rFonts w:ascii="仿宋" w:eastAsia="仿宋" w:hAnsi="仿宋"/>
          <w:sz w:val="30"/>
          <w:szCs w:val="30"/>
        </w:rPr>
      </w:pPr>
      <w:r>
        <w:rPr>
          <w:rFonts w:ascii="仿宋" w:eastAsia="仿宋" w:hAnsi="仿宋" w:hint="eastAsia"/>
          <w:sz w:val="30"/>
          <w:szCs w:val="30"/>
        </w:rPr>
        <w:t>旨在验证药品与不良事件关联性的安全性研究</w:t>
      </w:r>
      <w:r w:rsidR="0047571F">
        <w:rPr>
          <w:rFonts w:ascii="仿宋" w:eastAsia="仿宋" w:hAnsi="仿宋" w:hint="eastAsia"/>
          <w:sz w:val="30"/>
          <w:szCs w:val="30"/>
        </w:rPr>
        <w:t>是</w:t>
      </w:r>
      <w:r w:rsidR="00666425">
        <w:rPr>
          <w:rFonts w:ascii="仿宋" w:eastAsia="仿宋" w:hAnsi="仿宋" w:hint="eastAsia"/>
          <w:sz w:val="30"/>
          <w:szCs w:val="30"/>
        </w:rPr>
        <w:t>评价</w:t>
      </w:r>
      <w:r w:rsidR="0047571F">
        <w:rPr>
          <w:rFonts w:ascii="仿宋" w:eastAsia="仿宋" w:hAnsi="仿宋" w:hint="eastAsia"/>
          <w:sz w:val="30"/>
          <w:szCs w:val="30"/>
        </w:rPr>
        <w:t>非预期不良事件</w:t>
      </w:r>
      <w:r w:rsidR="00B01740">
        <w:rPr>
          <w:rFonts w:ascii="仿宋" w:eastAsia="仿宋" w:hAnsi="仿宋" w:hint="eastAsia"/>
          <w:sz w:val="30"/>
          <w:szCs w:val="30"/>
        </w:rPr>
        <w:t>必须</w:t>
      </w:r>
      <w:r w:rsidR="00666425">
        <w:rPr>
          <w:rFonts w:ascii="仿宋" w:eastAsia="仿宋" w:hAnsi="仿宋" w:hint="eastAsia"/>
          <w:sz w:val="30"/>
          <w:szCs w:val="30"/>
        </w:rPr>
        <w:t>收集的关键证据。此类研究多为定量的观察性研究，</w:t>
      </w:r>
      <w:r w:rsidR="009112EC">
        <w:rPr>
          <w:rFonts w:ascii="仿宋" w:eastAsia="仿宋" w:hAnsi="仿宋" w:hint="eastAsia"/>
          <w:sz w:val="30"/>
          <w:szCs w:val="30"/>
        </w:rPr>
        <w:t>包括横断面研究、队列研究、病例</w:t>
      </w:r>
      <w:r w:rsidR="00666425" w:rsidRPr="00CB4302">
        <w:rPr>
          <w:rFonts w:ascii="仿宋" w:eastAsia="仿宋" w:hAnsi="仿宋" w:hint="eastAsia"/>
          <w:sz w:val="30"/>
          <w:szCs w:val="30"/>
        </w:rPr>
        <w:t>对照研究</w:t>
      </w:r>
      <w:r w:rsidR="00666425">
        <w:rPr>
          <w:rFonts w:ascii="仿宋" w:eastAsia="仿宋" w:hAnsi="仿宋" w:hint="eastAsia"/>
          <w:sz w:val="30"/>
          <w:szCs w:val="30"/>
        </w:rPr>
        <w:t>、</w:t>
      </w:r>
      <w:r w:rsidR="00666425" w:rsidRPr="00687520">
        <w:rPr>
          <w:rFonts w:ascii="仿宋" w:eastAsia="仿宋" w:hAnsi="仿宋"/>
          <w:sz w:val="30"/>
          <w:szCs w:val="30"/>
        </w:rPr>
        <w:t>单纯病例研究设计、生态学研究</w:t>
      </w:r>
      <w:r w:rsidR="00666425" w:rsidRPr="00CB4302">
        <w:rPr>
          <w:rFonts w:ascii="仿宋" w:eastAsia="仿宋" w:hAnsi="仿宋" w:hint="eastAsia"/>
          <w:sz w:val="30"/>
          <w:szCs w:val="30"/>
        </w:rPr>
        <w:t>等</w:t>
      </w:r>
      <w:r w:rsidR="00666425">
        <w:rPr>
          <w:rFonts w:ascii="仿宋" w:eastAsia="仿宋" w:hAnsi="仿宋" w:hint="eastAsia"/>
          <w:sz w:val="30"/>
          <w:szCs w:val="30"/>
        </w:rPr>
        <w:t>。</w:t>
      </w:r>
      <w:r w:rsidR="00666425" w:rsidRPr="000C75BF">
        <w:rPr>
          <w:rFonts w:ascii="仿宋" w:eastAsia="仿宋" w:hAnsi="仿宋"/>
          <w:sz w:val="30"/>
          <w:szCs w:val="30"/>
        </w:rPr>
        <w:t>当多个研究结果不一致或都无统计学意义时，</w:t>
      </w:r>
      <w:r w:rsidR="00666425">
        <w:rPr>
          <w:rFonts w:ascii="仿宋" w:eastAsia="仿宋" w:hAnsi="仿宋" w:hint="eastAsia"/>
          <w:sz w:val="30"/>
          <w:szCs w:val="30"/>
        </w:rPr>
        <w:t>采取荟萃分析</w:t>
      </w:r>
      <w:r w:rsidR="00666425" w:rsidRPr="000C75BF">
        <w:rPr>
          <w:rFonts w:ascii="仿宋" w:eastAsia="仿宋" w:hAnsi="仿宋"/>
          <w:sz w:val="30"/>
          <w:szCs w:val="30"/>
        </w:rPr>
        <w:t>可能得到</w:t>
      </w:r>
      <w:r w:rsidR="00B62DF5">
        <w:rPr>
          <w:rFonts w:ascii="仿宋" w:eastAsia="仿宋" w:hAnsi="仿宋" w:hint="eastAsia"/>
          <w:sz w:val="30"/>
          <w:szCs w:val="30"/>
        </w:rPr>
        <w:t>更准确的</w:t>
      </w:r>
      <w:r>
        <w:rPr>
          <w:rFonts w:ascii="仿宋" w:eastAsia="仿宋" w:hAnsi="仿宋" w:hint="eastAsia"/>
          <w:sz w:val="30"/>
          <w:szCs w:val="30"/>
        </w:rPr>
        <w:t>评价</w:t>
      </w:r>
      <w:r w:rsidR="00666425" w:rsidRPr="000C75BF">
        <w:rPr>
          <w:rFonts w:ascii="仿宋" w:eastAsia="仿宋" w:hAnsi="仿宋"/>
          <w:sz w:val="30"/>
          <w:szCs w:val="30"/>
        </w:rPr>
        <w:t>结果</w:t>
      </w:r>
      <w:r w:rsidR="00666425">
        <w:rPr>
          <w:rFonts w:ascii="仿宋" w:eastAsia="仿宋" w:hAnsi="仿宋" w:hint="eastAsia"/>
          <w:sz w:val="30"/>
          <w:szCs w:val="30"/>
        </w:rPr>
        <w:t>。</w:t>
      </w:r>
    </w:p>
    <w:p w14:paraId="05CF88CD" w14:textId="5A81E417" w:rsidR="007D080C" w:rsidRDefault="006E48F6" w:rsidP="004B4AD3">
      <w:pPr>
        <w:spacing w:line="540" w:lineRule="exact"/>
        <w:ind w:firstLineChars="202" w:firstLine="606"/>
        <w:rPr>
          <w:rFonts w:ascii="仿宋" w:eastAsia="仿宋" w:hAnsi="仿宋"/>
          <w:sz w:val="30"/>
          <w:szCs w:val="30"/>
        </w:rPr>
      </w:pPr>
      <w:r>
        <w:rPr>
          <w:rFonts w:ascii="仿宋" w:eastAsia="仿宋" w:hAnsi="仿宋" w:hint="eastAsia"/>
          <w:sz w:val="30"/>
          <w:szCs w:val="30"/>
        </w:rPr>
        <w:t>在流行病学资料支持的情况下，</w:t>
      </w:r>
      <w:r w:rsidR="00666425">
        <w:rPr>
          <w:rFonts w:ascii="仿宋" w:eastAsia="仿宋" w:hAnsi="仿宋" w:hint="eastAsia"/>
          <w:sz w:val="30"/>
          <w:szCs w:val="30"/>
        </w:rPr>
        <w:t>将疾病的背景发生率与</w:t>
      </w:r>
      <w:r w:rsidR="000804C6">
        <w:rPr>
          <w:rFonts w:ascii="仿宋" w:eastAsia="仿宋" w:hAnsi="仿宋" w:hint="eastAsia"/>
          <w:sz w:val="30"/>
          <w:szCs w:val="30"/>
        </w:rPr>
        <w:t>不良</w:t>
      </w:r>
      <w:r w:rsidR="004B4AD3">
        <w:rPr>
          <w:rFonts w:ascii="仿宋" w:eastAsia="仿宋" w:hAnsi="仿宋" w:hint="eastAsia"/>
          <w:sz w:val="30"/>
          <w:szCs w:val="30"/>
        </w:rPr>
        <w:t>事件</w:t>
      </w:r>
      <w:r>
        <w:rPr>
          <w:rFonts w:ascii="仿宋" w:eastAsia="仿宋" w:hAnsi="仿宋" w:hint="eastAsia"/>
          <w:sz w:val="30"/>
          <w:szCs w:val="30"/>
        </w:rPr>
        <w:t>的</w:t>
      </w:r>
      <w:r w:rsidR="00666425">
        <w:rPr>
          <w:rFonts w:ascii="仿宋" w:eastAsia="仿宋" w:hAnsi="仿宋" w:hint="eastAsia"/>
          <w:sz w:val="30"/>
          <w:szCs w:val="30"/>
        </w:rPr>
        <w:t>发生率</w:t>
      </w:r>
      <w:r w:rsidR="000804C6">
        <w:rPr>
          <w:rFonts w:ascii="仿宋" w:eastAsia="仿宋" w:hAnsi="仿宋" w:hint="eastAsia"/>
          <w:sz w:val="30"/>
          <w:szCs w:val="30"/>
        </w:rPr>
        <w:t>进行</w:t>
      </w:r>
      <w:r w:rsidR="00666425">
        <w:rPr>
          <w:rFonts w:ascii="仿宋" w:eastAsia="仿宋" w:hAnsi="仿宋" w:hint="eastAsia"/>
          <w:sz w:val="30"/>
          <w:szCs w:val="30"/>
        </w:rPr>
        <w:t>比较，</w:t>
      </w:r>
      <w:r>
        <w:rPr>
          <w:rFonts w:ascii="仿宋" w:eastAsia="仿宋" w:hAnsi="仿宋" w:hint="eastAsia"/>
          <w:sz w:val="30"/>
          <w:szCs w:val="30"/>
        </w:rPr>
        <w:t>以及</w:t>
      </w:r>
      <w:r w:rsidR="004B4AD3">
        <w:rPr>
          <w:rFonts w:ascii="仿宋" w:eastAsia="仿宋" w:hAnsi="仿宋" w:hint="eastAsia"/>
          <w:sz w:val="30"/>
          <w:szCs w:val="30"/>
        </w:rPr>
        <w:t>合理解释</w:t>
      </w:r>
      <w:r>
        <w:rPr>
          <w:rFonts w:ascii="仿宋" w:eastAsia="仿宋" w:hAnsi="仿宋" w:hint="eastAsia"/>
          <w:sz w:val="30"/>
          <w:szCs w:val="30"/>
        </w:rPr>
        <w:t>不良事件的发生机制</w:t>
      </w:r>
      <w:r w:rsidR="004B4AD3">
        <w:rPr>
          <w:rFonts w:ascii="仿宋" w:eastAsia="仿宋" w:hAnsi="仿宋" w:hint="eastAsia"/>
          <w:sz w:val="30"/>
          <w:szCs w:val="30"/>
        </w:rPr>
        <w:t>，</w:t>
      </w:r>
      <w:r w:rsidR="000F4B64">
        <w:rPr>
          <w:rFonts w:ascii="仿宋" w:eastAsia="仿宋" w:hAnsi="仿宋" w:hint="eastAsia"/>
          <w:sz w:val="30"/>
          <w:szCs w:val="30"/>
        </w:rPr>
        <w:t>同样有</w:t>
      </w:r>
      <w:r w:rsidR="00666425">
        <w:rPr>
          <w:rFonts w:ascii="仿宋" w:eastAsia="仿宋" w:hAnsi="仿宋" w:hint="eastAsia"/>
          <w:sz w:val="30"/>
          <w:szCs w:val="30"/>
        </w:rPr>
        <w:t>助于</w:t>
      </w:r>
      <w:r w:rsidR="009112EC">
        <w:rPr>
          <w:rFonts w:ascii="仿宋" w:eastAsia="仿宋" w:hAnsi="仿宋" w:hint="eastAsia"/>
          <w:sz w:val="30"/>
          <w:szCs w:val="30"/>
        </w:rPr>
        <w:t>明确</w:t>
      </w:r>
      <w:r w:rsidR="00666425">
        <w:rPr>
          <w:rFonts w:ascii="仿宋" w:eastAsia="仿宋" w:hAnsi="仿宋" w:hint="eastAsia"/>
          <w:sz w:val="30"/>
          <w:szCs w:val="30"/>
        </w:rPr>
        <w:t>药品与事件的相关性。</w:t>
      </w:r>
      <w:r w:rsidR="004B4AD3" w:rsidRPr="004B4AD3">
        <w:rPr>
          <w:rFonts w:ascii="仿宋" w:eastAsia="仿宋" w:hAnsi="仿宋" w:hint="eastAsia"/>
          <w:sz w:val="30"/>
          <w:szCs w:val="30"/>
        </w:rPr>
        <w:t>疾病的背景发生率</w:t>
      </w:r>
      <w:r w:rsidR="003828A0">
        <w:rPr>
          <w:rFonts w:ascii="仿宋" w:eastAsia="仿宋" w:hAnsi="仿宋" w:hint="eastAsia"/>
          <w:sz w:val="30"/>
          <w:szCs w:val="30"/>
        </w:rPr>
        <w:t>尽量获取权威数据并</w:t>
      </w:r>
      <w:r w:rsidR="000804C6">
        <w:rPr>
          <w:rFonts w:ascii="仿宋" w:eastAsia="仿宋" w:hAnsi="仿宋" w:hint="eastAsia"/>
          <w:sz w:val="30"/>
          <w:szCs w:val="30"/>
        </w:rPr>
        <w:t>明确出处。</w:t>
      </w:r>
      <w:r w:rsidR="000F4B64">
        <w:rPr>
          <w:rFonts w:ascii="仿宋" w:eastAsia="仿宋" w:hAnsi="仿宋" w:hint="eastAsia"/>
          <w:sz w:val="30"/>
          <w:szCs w:val="30"/>
        </w:rPr>
        <w:t>不良事件发生率</w:t>
      </w:r>
      <w:r w:rsidR="00847F2F">
        <w:rPr>
          <w:rFonts w:ascii="仿宋" w:eastAsia="仿宋" w:hAnsi="仿宋" w:hint="eastAsia"/>
          <w:sz w:val="30"/>
          <w:szCs w:val="30"/>
        </w:rPr>
        <w:t>不应以自发报告数据</w:t>
      </w:r>
      <w:r w:rsidR="004C6095">
        <w:rPr>
          <w:rFonts w:ascii="仿宋" w:eastAsia="仿宋" w:hAnsi="仿宋" w:hint="eastAsia"/>
          <w:sz w:val="30"/>
          <w:szCs w:val="30"/>
        </w:rPr>
        <w:t>作</w:t>
      </w:r>
      <w:r w:rsidR="00847F2F">
        <w:rPr>
          <w:rFonts w:ascii="仿宋" w:eastAsia="仿宋" w:hAnsi="仿宋" w:hint="eastAsia"/>
          <w:sz w:val="30"/>
          <w:szCs w:val="30"/>
        </w:rPr>
        <w:t>为基础</w:t>
      </w:r>
      <w:r w:rsidR="004C6095">
        <w:rPr>
          <w:rFonts w:ascii="仿宋" w:eastAsia="仿宋" w:hAnsi="仿宋" w:hint="eastAsia"/>
          <w:sz w:val="30"/>
          <w:szCs w:val="30"/>
        </w:rPr>
        <w:t>来</w:t>
      </w:r>
      <w:r w:rsidR="00847F2F">
        <w:rPr>
          <w:rFonts w:ascii="仿宋" w:eastAsia="仿宋" w:hAnsi="仿宋" w:hint="eastAsia"/>
          <w:sz w:val="30"/>
          <w:szCs w:val="30"/>
        </w:rPr>
        <w:t>计算</w:t>
      </w:r>
      <w:r w:rsidR="004C6095">
        <w:rPr>
          <w:rFonts w:ascii="仿宋" w:eastAsia="仿宋" w:hAnsi="仿宋" w:hint="eastAsia"/>
          <w:sz w:val="30"/>
          <w:szCs w:val="30"/>
        </w:rPr>
        <w:t>，</w:t>
      </w:r>
      <w:r w:rsidR="000E5FC7">
        <w:rPr>
          <w:rFonts w:ascii="仿宋" w:eastAsia="仿宋" w:hAnsi="仿宋" w:hint="eastAsia"/>
          <w:sz w:val="30"/>
          <w:szCs w:val="30"/>
        </w:rPr>
        <w:t>建议</w:t>
      </w:r>
      <w:r w:rsidR="004C6095">
        <w:rPr>
          <w:rFonts w:ascii="仿宋" w:eastAsia="仿宋" w:hAnsi="仿宋" w:hint="eastAsia"/>
          <w:sz w:val="30"/>
          <w:szCs w:val="30"/>
        </w:rPr>
        <w:t>尝试获取</w:t>
      </w:r>
      <w:r w:rsidR="003828A0">
        <w:rPr>
          <w:rFonts w:ascii="仿宋" w:eastAsia="仿宋" w:hAnsi="仿宋" w:hint="eastAsia"/>
          <w:sz w:val="30"/>
          <w:szCs w:val="30"/>
        </w:rPr>
        <w:t>临床试验、</w:t>
      </w:r>
      <w:r w:rsidR="004C6095">
        <w:rPr>
          <w:rFonts w:ascii="仿宋" w:eastAsia="仿宋" w:hAnsi="仿宋" w:hint="eastAsia"/>
          <w:sz w:val="30"/>
          <w:szCs w:val="30"/>
        </w:rPr>
        <w:t>流行病学研究中的结果</w:t>
      </w:r>
      <w:r w:rsidR="000804C6">
        <w:rPr>
          <w:rFonts w:ascii="仿宋" w:eastAsia="仿宋" w:hAnsi="仿宋" w:hint="eastAsia"/>
          <w:sz w:val="30"/>
          <w:szCs w:val="30"/>
        </w:rPr>
        <w:t>。</w:t>
      </w:r>
      <w:r w:rsidR="004C6095">
        <w:rPr>
          <w:rFonts w:ascii="仿宋" w:eastAsia="仿宋" w:hAnsi="仿宋" w:hint="eastAsia"/>
          <w:sz w:val="30"/>
          <w:szCs w:val="30"/>
        </w:rPr>
        <w:t>事件</w:t>
      </w:r>
      <w:r w:rsidR="000804C6">
        <w:rPr>
          <w:rFonts w:ascii="仿宋" w:eastAsia="仿宋" w:hAnsi="仿宋" w:hint="eastAsia"/>
          <w:sz w:val="30"/>
          <w:szCs w:val="30"/>
        </w:rPr>
        <w:t>的</w:t>
      </w:r>
      <w:r w:rsidR="004C6095">
        <w:rPr>
          <w:rFonts w:ascii="仿宋" w:eastAsia="仿宋" w:hAnsi="仿宋" w:hint="eastAsia"/>
          <w:sz w:val="30"/>
          <w:szCs w:val="30"/>
        </w:rPr>
        <w:t>发生机制</w:t>
      </w:r>
      <w:r w:rsidR="00666425">
        <w:rPr>
          <w:rFonts w:ascii="仿宋" w:eastAsia="仿宋" w:hAnsi="仿宋" w:hint="eastAsia"/>
          <w:sz w:val="30"/>
          <w:szCs w:val="30"/>
        </w:rPr>
        <w:t>可以</w:t>
      </w:r>
      <w:r w:rsidR="00847F2F">
        <w:rPr>
          <w:rFonts w:ascii="仿宋" w:eastAsia="仿宋" w:hAnsi="仿宋" w:hint="eastAsia"/>
          <w:sz w:val="30"/>
          <w:szCs w:val="30"/>
        </w:rPr>
        <w:t>从</w:t>
      </w:r>
      <w:r w:rsidR="00666425">
        <w:rPr>
          <w:rFonts w:ascii="仿宋" w:eastAsia="仿宋" w:hAnsi="仿宋" w:hint="eastAsia"/>
          <w:sz w:val="30"/>
          <w:szCs w:val="30"/>
        </w:rPr>
        <w:t>药理作用、药代动力学过程、</w:t>
      </w:r>
      <w:r w:rsidR="000E5FC7">
        <w:rPr>
          <w:rFonts w:ascii="仿宋" w:eastAsia="仿宋" w:hAnsi="仿宋" w:hint="eastAsia"/>
          <w:sz w:val="30"/>
          <w:szCs w:val="30"/>
        </w:rPr>
        <w:t>药物</w:t>
      </w:r>
      <w:r w:rsidR="00666425">
        <w:rPr>
          <w:rFonts w:ascii="仿宋" w:eastAsia="仿宋" w:hAnsi="仿宋" w:hint="eastAsia"/>
          <w:sz w:val="30"/>
          <w:szCs w:val="30"/>
        </w:rPr>
        <w:t>相互作用、理化性质等方面</w:t>
      </w:r>
      <w:r w:rsidR="004C6095">
        <w:rPr>
          <w:rFonts w:ascii="仿宋" w:eastAsia="仿宋" w:hAnsi="仿宋" w:hint="eastAsia"/>
          <w:sz w:val="30"/>
          <w:szCs w:val="30"/>
        </w:rPr>
        <w:t>进行</w:t>
      </w:r>
      <w:r w:rsidR="00666425">
        <w:rPr>
          <w:rFonts w:ascii="仿宋" w:eastAsia="仿宋" w:hAnsi="仿宋" w:hint="eastAsia"/>
          <w:sz w:val="30"/>
          <w:szCs w:val="30"/>
        </w:rPr>
        <w:t>探究，关注与作用机制相关的研究或研究者的讨论。</w:t>
      </w:r>
    </w:p>
    <w:p w14:paraId="045EBAFD" w14:textId="6CA32EB3" w:rsidR="00666425" w:rsidRDefault="004B4AD3" w:rsidP="004B4AD3">
      <w:pPr>
        <w:spacing w:line="540" w:lineRule="exact"/>
        <w:ind w:firstLineChars="202" w:firstLine="606"/>
        <w:rPr>
          <w:rFonts w:ascii="仿宋" w:eastAsia="仿宋" w:hAnsi="仿宋"/>
          <w:sz w:val="30"/>
          <w:szCs w:val="30"/>
        </w:rPr>
      </w:pPr>
      <w:r w:rsidRPr="00046CD2">
        <w:rPr>
          <w:rFonts w:ascii="仿宋" w:eastAsia="仿宋" w:hAnsi="仿宋" w:hint="eastAsia"/>
          <w:sz w:val="30"/>
          <w:szCs w:val="30"/>
        </w:rPr>
        <w:t>利用</w:t>
      </w:r>
      <w:r w:rsidR="007D080C">
        <w:rPr>
          <w:rFonts w:ascii="仿宋" w:eastAsia="仿宋" w:hAnsi="仿宋" w:hint="eastAsia"/>
          <w:sz w:val="30"/>
          <w:szCs w:val="30"/>
        </w:rPr>
        <w:t>国外监管部门</w:t>
      </w:r>
      <w:r w:rsidR="000804C6">
        <w:rPr>
          <w:rFonts w:ascii="仿宋" w:eastAsia="仿宋" w:hAnsi="仿宋" w:hint="eastAsia"/>
          <w:sz w:val="30"/>
          <w:szCs w:val="30"/>
        </w:rPr>
        <w:t>公开的</w:t>
      </w:r>
      <w:r w:rsidR="003828A0">
        <w:rPr>
          <w:rFonts w:ascii="仿宋" w:eastAsia="仿宋" w:hAnsi="仿宋" w:hint="eastAsia"/>
          <w:sz w:val="30"/>
          <w:szCs w:val="30"/>
        </w:rPr>
        <w:t>药物警戒</w:t>
      </w:r>
      <w:r w:rsidR="007D080C">
        <w:rPr>
          <w:rFonts w:ascii="仿宋" w:eastAsia="仿宋" w:hAnsi="仿宋" w:hint="eastAsia"/>
          <w:sz w:val="30"/>
          <w:szCs w:val="30"/>
        </w:rPr>
        <w:t>数据库</w:t>
      </w:r>
      <w:r w:rsidR="000804C6">
        <w:rPr>
          <w:rFonts w:ascii="仿宋" w:eastAsia="仿宋" w:hAnsi="仿宋" w:hint="eastAsia"/>
          <w:sz w:val="30"/>
          <w:szCs w:val="30"/>
        </w:rPr>
        <w:t>和成熟的信号检测方法（</w:t>
      </w:r>
      <w:r w:rsidR="000804C6" w:rsidRPr="00046CD2">
        <w:rPr>
          <w:rFonts w:ascii="仿宋" w:eastAsia="仿宋" w:hAnsi="仿宋" w:hint="eastAsia"/>
          <w:sz w:val="30"/>
          <w:szCs w:val="30"/>
        </w:rPr>
        <w:t>如比例失衡法）</w:t>
      </w:r>
      <w:r w:rsidR="007D080C">
        <w:rPr>
          <w:rFonts w:ascii="仿宋" w:eastAsia="仿宋" w:hAnsi="仿宋" w:hint="eastAsia"/>
          <w:sz w:val="30"/>
          <w:szCs w:val="30"/>
        </w:rPr>
        <w:t>开展信号检测</w:t>
      </w:r>
      <w:r w:rsidRPr="00046CD2">
        <w:rPr>
          <w:rFonts w:ascii="仿宋" w:eastAsia="仿宋" w:hAnsi="仿宋"/>
          <w:sz w:val="30"/>
          <w:szCs w:val="30"/>
        </w:rPr>
        <w:t>获得的</w:t>
      </w:r>
      <w:r w:rsidR="000E5FC7">
        <w:rPr>
          <w:rFonts w:ascii="仿宋" w:eastAsia="仿宋" w:hAnsi="仿宋" w:hint="eastAsia"/>
          <w:sz w:val="30"/>
          <w:szCs w:val="30"/>
        </w:rPr>
        <w:t>阳性结果可以在评价资料中展示</w:t>
      </w:r>
      <w:r w:rsidR="00244E07">
        <w:rPr>
          <w:rFonts w:ascii="仿宋" w:eastAsia="仿宋" w:hAnsi="仿宋" w:hint="eastAsia"/>
          <w:sz w:val="30"/>
          <w:szCs w:val="30"/>
        </w:rPr>
        <w:t>，但需要注意</w:t>
      </w:r>
      <w:r w:rsidR="007D080C">
        <w:rPr>
          <w:rFonts w:ascii="仿宋" w:eastAsia="仿宋" w:hAnsi="仿宋" w:hint="eastAsia"/>
          <w:sz w:val="30"/>
          <w:szCs w:val="30"/>
        </w:rPr>
        <w:t>对数据</w:t>
      </w:r>
      <w:r w:rsidR="003828A0">
        <w:rPr>
          <w:rFonts w:ascii="仿宋" w:eastAsia="仿宋" w:hAnsi="仿宋" w:hint="eastAsia"/>
          <w:sz w:val="30"/>
          <w:szCs w:val="30"/>
        </w:rPr>
        <w:t>或结果</w:t>
      </w:r>
      <w:r w:rsidR="007D080C">
        <w:rPr>
          <w:rFonts w:ascii="仿宋" w:eastAsia="仿宋" w:hAnsi="仿宋" w:hint="eastAsia"/>
          <w:sz w:val="30"/>
          <w:szCs w:val="30"/>
        </w:rPr>
        <w:t>局限性的解读</w:t>
      </w:r>
      <w:r w:rsidRPr="00046CD2">
        <w:rPr>
          <w:rFonts w:ascii="仿宋" w:eastAsia="仿宋" w:hAnsi="仿宋" w:hint="eastAsia"/>
          <w:sz w:val="30"/>
          <w:szCs w:val="30"/>
        </w:rPr>
        <w:t>。</w:t>
      </w:r>
    </w:p>
    <w:p w14:paraId="40817D55" w14:textId="63D33308" w:rsidR="008B0660" w:rsidRPr="008429FF" w:rsidRDefault="00666425" w:rsidP="00666425">
      <w:pPr>
        <w:spacing w:line="540" w:lineRule="exact"/>
        <w:ind w:firstLineChars="202" w:firstLine="606"/>
        <w:rPr>
          <w:rFonts w:ascii="仿宋" w:eastAsia="仿宋" w:hAnsi="仿宋"/>
          <w:sz w:val="30"/>
          <w:szCs w:val="30"/>
        </w:rPr>
      </w:pPr>
      <w:r w:rsidRPr="00737AD4">
        <w:rPr>
          <w:rFonts w:ascii="仿宋" w:eastAsia="仿宋" w:hAnsi="仿宋" w:hint="eastAsia"/>
          <w:sz w:val="30"/>
          <w:szCs w:val="30"/>
        </w:rPr>
        <w:t>评价</w:t>
      </w:r>
      <w:r>
        <w:rPr>
          <w:rFonts w:ascii="仿宋" w:eastAsia="仿宋" w:hAnsi="仿宋" w:hint="eastAsia"/>
          <w:sz w:val="30"/>
          <w:szCs w:val="30"/>
        </w:rPr>
        <w:t>人员最终应给出</w:t>
      </w:r>
      <w:r w:rsidRPr="00737AD4">
        <w:rPr>
          <w:rFonts w:ascii="仿宋" w:eastAsia="仿宋" w:hAnsi="仿宋" w:hint="eastAsia"/>
          <w:sz w:val="30"/>
          <w:szCs w:val="30"/>
        </w:rPr>
        <w:t>药品与事件</w:t>
      </w:r>
      <w:r>
        <w:rPr>
          <w:rFonts w:ascii="仿宋" w:eastAsia="仿宋" w:hAnsi="仿宋" w:hint="eastAsia"/>
          <w:sz w:val="30"/>
          <w:szCs w:val="30"/>
        </w:rPr>
        <w:t>关联性的</w:t>
      </w:r>
      <w:r w:rsidRPr="00737AD4">
        <w:rPr>
          <w:rFonts w:ascii="仿宋" w:eastAsia="仿宋" w:hAnsi="仿宋" w:hint="eastAsia"/>
          <w:sz w:val="30"/>
          <w:szCs w:val="30"/>
        </w:rPr>
        <w:t>总体</w:t>
      </w:r>
      <w:r w:rsidR="00D83227">
        <w:rPr>
          <w:rFonts w:ascii="仿宋" w:eastAsia="仿宋" w:hAnsi="仿宋" w:hint="eastAsia"/>
          <w:sz w:val="30"/>
          <w:szCs w:val="30"/>
        </w:rPr>
        <w:t>结论</w:t>
      </w:r>
      <w:r w:rsidR="00EB3BC8">
        <w:rPr>
          <w:rFonts w:ascii="仿宋" w:eastAsia="仿宋" w:hAnsi="仿宋" w:hint="eastAsia"/>
          <w:sz w:val="30"/>
          <w:szCs w:val="30"/>
        </w:rPr>
        <w:t>，</w:t>
      </w:r>
      <w:r w:rsidR="009112EC">
        <w:rPr>
          <w:rFonts w:ascii="仿宋" w:eastAsia="仿宋" w:hAnsi="仿宋" w:hint="eastAsia"/>
          <w:sz w:val="30"/>
          <w:szCs w:val="30"/>
        </w:rPr>
        <w:t>例如使用药品是否可能</w:t>
      </w:r>
      <w:r w:rsidR="00EB3BC8">
        <w:rPr>
          <w:rFonts w:ascii="仿宋" w:eastAsia="仿宋" w:hAnsi="仿宋" w:hint="eastAsia"/>
          <w:sz w:val="30"/>
          <w:szCs w:val="30"/>
        </w:rPr>
        <w:t>增加</w:t>
      </w:r>
      <w:r w:rsidR="000804C6">
        <w:rPr>
          <w:rFonts w:ascii="仿宋" w:eastAsia="仿宋" w:hAnsi="仿宋" w:hint="eastAsia"/>
          <w:sz w:val="30"/>
          <w:szCs w:val="30"/>
        </w:rPr>
        <w:t>某</w:t>
      </w:r>
      <w:r w:rsidR="00EB3BC8">
        <w:rPr>
          <w:rFonts w:ascii="仿宋" w:eastAsia="仿宋" w:hAnsi="仿宋" w:hint="eastAsia"/>
          <w:sz w:val="30"/>
          <w:szCs w:val="30"/>
        </w:rPr>
        <w:t>不良事件的发生风险</w:t>
      </w:r>
      <w:r>
        <w:rPr>
          <w:rFonts w:ascii="仿宋" w:eastAsia="仿宋" w:hAnsi="仿宋" w:hint="eastAsia"/>
          <w:sz w:val="30"/>
          <w:szCs w:val="30"/>
        </w:rPr>
        <w:t>。</w:t>
      </w:r>
    </w:p>
    <w:p w14:paraId="7F2D90AF" w14:textId="089CBC8C" w:rsidR="00666425" w:rsidRPr="004D7D39" w:rsidRDefault="00666425" w:rsidP="00610C76">
      <w:pPr>
        <w:pStyle w:val="a7"/>
        <w:numPr>
          <w:ilvl w:val="1"/>
          <w:numId w:val="20"/>
        </w:numPr>
        <w:tabs>
          <w:tab w:val="left" w:pos="709"/>
        </w:tabs>
        <w:spacing w:line="540" w:lineRule="exact"/>
        <w:ind w:firstLineChars="0" w:hanging="5"/>
        <w:outlineLvl w:val="1"/>
        <w:rPr>
          <w:rFonts w:ascii="楷体" w:eastAsia="楷体" w:hAnsi="楷体"/>
          <w:sz w:val="30"/>
          <w:szCs w:val="30"/>
        </w:rPr>
      </w:pPr>
      <w:bookmarkStart w:id="11" w:name="_Toc177114413"/>
      <w:r>
        <w:rPr>
          <w:rFonts w:ascii="楷体" w:eastAsia="楷体" w:hAnsi="楷体" w:hint="eastAsia"/>
          <w:sz w:val="30"/>
          <w:szCs w:val="30"/>
        </w:rPr>
        <w:lastRenderedPageBreak/>
        <w:t>评价</w:t>
      </w:r>
      <w:r w:rsidR="003828A0">
        <w:rPr>
          <w:rFonts w:ascii="楷体" w:eastAsia="楷体" w:hAnsi="楷体" w:hint="eastAsia"/>
          <w:sz w:val="30"/>
          <w:szCs w:val="30"/>
        </w:rPr>
        <w:t>药品</w:t>
      </w:r>
      <w:r>
        <w:rPr>
          <w:rFonts w:ascii="楷体" w:eastAsia="楷体" w:hAnsi="楷体" w:hint="eastAsia"/>
          <w:sz w:val="30"/>
          <w:szCs w:val="30"/>
        </w:rPr>
        <w:t>风险</w:t>
      </w:r>
      <w:r w:rsidRPr="004D7D39">
        <w:rPr>
          <w:rFonts w:ascii="楷体" w:eastAsia="楷体" w:hAnsi="楷体"/>
          <w:sz w:val="30"/>
          <w:szCs w:val="30"/>
        </w:rPr>
        <w:t>的影响因素</w:t>
      </w:r>
      <w:bookmarkEnd w:id="11"/>
    </w:p>
    <w:p w14:paraId="5B2C4CFF" w14:textId="30E9A7B5" w:rsidR="008F01A1" w:rsidRDefault="003828A0" w:rsidP="00666425">
      <w:pPr>
        <w:spacing w:line="540" w:lineRule="exact"/>
        <w:ind w:firstLineChars="202" w:firstLine="606"/>
        <w:rPr>
          <w:rFonts w:ascii="仿宋" w:eastAsia="仿宋" w:hAnsi="仿宋"/>
          <w:sz w:val="30"/>
          <w:szCs w:val="30"/>
        </w:rPr>
      </w:pPr>
      <w:r>
        <w:rPr>
          <w:rFonts w:ascii="仿宋" w:eastAsia="仿宋" w:hAnsi="仿宋" w:hint="eastAsia"/>
          <w:sz w:val="30"/>
          <w:szCs w:val="30"/>
        </w:rPr>
        <w:t>药品</w:t>
      </w:r>
      <w:r w:rsidR="00666425">
        <w:rPr>
          <w:rFonts w:ascii="仿宋" w:eastAsia="仿宋" w:hAnsi="仿宋" w:hint="eastAsia"/>
          <w:sz w:val="30"/>
          <w:szCs w:val="30"/>
        </w:rPr>
        <w:t>风险</w:t>
      </w:r>
      <w:r w:rsidR="00F97BD6">
        <w:rPr>
          <w:rFonts w:ascii="仿宋" w:eastAsia="仿宋" w:hAnsi="仿宋" w:hint="eastAsia"/>
          <w:sz w:val="30"/>
          <w:szCs w:val="30"/>
        </w:rPr>
        <w:t>的</w:t>
      </w:r>
      <w:r w:rsidR="00666425">
        <w:rPr>
          <w:rFonts w:ascii="仿宋" w:eastAsia="仿宋" w:hAnsi="仿宋" w:hint="eastAsia"/>
          <w:sz w:val="30"/>
          <w:szCs w:val="30"/>
        </w:rPr>
        <w:t>影响因素</w:t>
      </w:r>
      <w:r w:rsidR="00FC3C8E">
        <w:rPr>
          <w:rFonts w:ascii="仿宋" w:eastAsia="仿宋" w:hAnsi="仿宋" w:hint="eastAsia"/>
          <w:sz w:val="30"/>
          <w:szCs w:val="30"/>
        </w:rPr>
        <w:t>（以下简称</w:t>
      </w:r>
      <w:r w:rsidR="00A8178B">
        <w:rPr>
          <w:rFonts w:ascii="仿宋" w:eastAsia="仿宋" w:hAnsi="仿宋" w:hint="eastAsia"/>
          <w:sz w:val="30"/>
          <w:szCs w:val="30"/>
        </w:rPr>
        <w:t>“</w:t>
      </w:r>
      <w:r w:rsidR="00FC3C8E">
        <w:rPr>
          <w:rFonts w:ascii="仿宋" w:eastAsia="仿宋" w:hAnsi="仿宋" w:hint="eastAsia"/>
          <w:sz w:val="30"/>
          <w:szCs w:val="30"/>
        </w:rPr>
        <w:t>风险因素</w:t>
      </w:r>
      <w:r w:rsidR="00A8178B">
        <w:rPr>
          <w:rFonts w:ascii="仿宋" w:eastAsia="仿宋" w:hAnsi="仿宋" w:hint="eastAsia"/>
          <w:sz w:val="30"/>
          <w:szCs w:val="30"/>
        </w:rPr>
        <w:t>”</w:t>
      </w:r>
      <w:r w:rsidR="00FC3C8E">
        <w:rPr>
          <w:rFonts w:ascii="仿宋" w:eastAsia="仿宋" w:hAnsi="仿宋" w:hint="eastAsia"/>
          <w:sz w:val="30"/>
          <w:szCs w:val="30"/>
        </w:rPr>
        <w:t>）</w:t>
      </w:r>
      <w:r w:rsidR="00A8178B">
        <w:rPr>
          <w:rFonts w:ascii="仿宋" w:eastAsia="仿宋" w:hAnsi="仿宋" w:hint="eastAsia"/>
          <w:sz w:val="30"/>
          <w:szCs w:val="30"/>
        </w:rPr>
        <w:t>是指可能引起</w:t>
      </w:r>
      <w:r w:rsidR="00666425" w:rsidRPr="00737AD4">
        <w:rPr>
          <w:rFonts w:ascii="仿宋" w:eastAsia="仿宋" w:hAnsi="仿宋" w:hint="eastAsia"/>
          <w:sz w:val="30"/>
          <w:szCs w:val="30"/>
        </w:rPr>
        <w:t>药品安全风险、增加风险发生频率或严重程度的</w:t>
      </w:r>
      <w:r w:rsidR="00666425" w:rsidRPr="00737AD4">
        <w:rPr>
          <w:rFonts w:ascii="仿宋" w:eastAsia="仿宋" w:hAnsi="仿宋"/>
          <w:sz w:val="30"/>
          <w:szCs w:val="30"/>
        </w:rPr>
        <w:t>原因或条件，</w:t>
      </w:r>
      <w:r w:rsidR="00666425" w:rsidRPr="007863CC">
        <w:rPr>
          <w:rFonts w:ascii="仿宋" w:eastAsia="仿宋" w:hAnsi="仿宋"/>
          <w:sz w:val="30"/>
          <w:szCs w:val="30"/>
        </w:rPr>
        <w:t>如患者的生理特征、基础疾病</w:t>
      </w:r>
      <w:r w:rsidR="00A8178B">
        <w:rPr>
          <w:rFonts w:ascii="仿宋" w:eastAsia="仿宋" w:hAnsi="仿宋" w:hint="eastAsia"/>
          <w:sz w:val="30"/>
          <w:szCs w:val="30"/>
        </w:rPr>
        <w:t>、</w:t>
      </w:r>
      <w:r w:rsidR="00666425" w:rsidRPr="007863CC">
        <w:rPr>
          <w:rFonts w:ascii="仿宋" w:eastAsia="仿宋" w:hAnsi="仿宋"/>
          <w:sz w:val="30"/>
          <w:szCs w:val="30"/>
        </w:rPr>
        <w:t>并用药品或药物溶媒</w:t>
      </w:r>
      <w:r w:rsidR="00A8178B">
        <w:rPr>
          <w:rFonts w:ascii="仿宋" w:eastAsia="仿宋" w:hAnsi="仿宋" w:hint="eastAsia"/>
          <w:sz w:val="30"/>
          <w:szCs w:val="30"/>
        </w:rPr>
        <w:t>、</w:t>
      </w:r>
      <w:r w:rsidR="00666425" w:rsidRPr="007863CC">
        <w:rPr>
          <w:rFonts w:ascii="仿宋" w:eastAsia="仿宋" w:hAnsi="仿宋"/>
          <w:sz w:val="30"/>
          <w:szCs w:val="30"/>
        </w:rPr>
        <w:t>药品的储存条件、使用方式等</w:t>
      </w:r>
      <w:r w:rsidR="00666425" w:rsidRPr="00737AD4">
        <w:rPr>
          <w:rFonts w:ascii="仿宋" w:eastAsia="仿宋" w:hAnsi="仿宋"/>
          <w:sz w:val="30"/>
          <w:szCs w:val="30"/>
        </w:rPr>
        <w:t>。</w:t>
      </w:r>
      <w:r w:rsidR="00666425">
        <w:rPr>
          <w:rFonts w:ascii="仿宋" w:eastAsia="仿宋" w:hAnsi="仿宋" w:hint="eastAsia"/>
          <w:sz w:val="30"/>
          <w:szCs w:val="30"/>
        </w:rPr>
        <w:t>对风险因素的评价可以为制定合理的风险干预措施提供依据。例如，欧盟评估</w:t>
      </w:r>
      <w:proofErr w:type="gramStart"/>
      <w:r w:rsidR="00666425">
        <w:rPr>
          <w:rFonts w:ascii="仿宋" w:eastAsia="仿宋" w:hAnsi="仿宋" w:hint="eastAsia"/>
          <w:sz w:val="30"/>
          <w:szCs w:val="30"/>
        </w:rPr>
        <w:t>认为甲泼</w:t>
      </w:r>
      <w:proofErr w:type="gramEnd"/>
      <w:r w:rsidR="008D031E">
        <w:rPr>
          <w:rFonts w:ascii="仿宋" w:eastAsia="仿宋" w:hAnsi="仿宋" w:hint="eastAsia"/>
          <w:sz w:val="30"/>
          <w:szCs w:val="30"/>
        </w:rPr>
        <w:t>尼龙注射剂辅料成份中的乳糖是引发某些患者</w:t>
      </w:r>
      <w:proofErr w:type="gramStart"/>
      <w:r w:rsidR="008D031E">
        <w:rPr>
          <w:rFonts w:ascii="仿宋" w:eastAsia="仿宋" w:hAnsi="仿宋" w:hint="eastAsia"/>
          <w:sz w:val="30"/>
          <w:szCs w:val="30"/>
        </w:rPr>
        <w:t>对甲泼尼龙</w:t>
      </w:r>
      <w:proofErr w:type="gramEnd"/>
      <w:r w:rsidR="008D031E">
        <w:rPr>
          <w:rFonts w:ascii="仿宋" w:eastAsia="仿宋" w:hAnsi="仿宋" w:hint="eastAsia"/>
          <w:sz w:val="30"/>
          <w:szCs w:val="30"/>
        </w:rPr>
        <w:t>过敏的原因，因此</w:t>
      </w:r>
      <w:r w:rsidR="00666425">
        <w:rPr>
          <w:rFonts w:ascii="仿宋" w:eastAsia="仿宋" w:hAnsi="仿宋" w:hint="eastAsia"/>
          <w:sz w:val="30"/>
          <w:szCs w:val="30"/>
        </w:rPr>
        <w:t>要求</w:t>
      </w:r>
      <w:r w:rsidR="00666425" w:rsidRPr="00AE7621">
        <w:rPr>
          <w:rFonts w:ascii="仿宋" w:eastAsia="仿宋" w:hAnsi="仿宋" w:hint="eastAsia"/>
          <w:sz w:val="30"/>
          <w:szCs w:val="30"/>
        </w:rPr>
        <w:t>企业</w:t>
      </w:r>
      <w:r w:rsidR="00666425" w:rsidRPr="00AE7621">
        <w:rPr>
          <w:rFonts w:ascii="仿宋" w:eastAsia="仿宋" w:hAnsi="仿宋"/>
          <w:sz w:val="30"/>
          <w:szCs w:val="30"/>
        </w:rPr>
        <w:t>替换</w:t>
      </w:r>
      <w:r w:rsidR="00666425">
        <w:rPr>
          <w:rFonts w:ascii="仿宋" w:eastAsia="仿宋" w:hAnsi="仿宋" w:hint="eastAsia"/>
          <w:sz w:val="30"/>
          <w:szCs w:val="30"/>
        </w:rPr>
        <w:t>该辅料来降低</w:t>
      </w:r>
      <w:r w:rsidR="008D031E">
        <w:rPr>
          <w:rFonts w:ascii="仿宋" w:eastAsia="仿宋" w:hAnsi="仿宋" w:hint="eastAsia"/>
          <w:sz w:val="30"/>
          <w:szCs w:val="30"/>
        </w:rPr>
        <w:t>过敏反应的</w:t>
      </w:r>
      <w:r w:rsidR="00666425">
        <w:rPr>
          <w:rFonts w:ascii="仿宋" w:eastAsia="仿宋" w:hAnsi="仿宋" w:hint="eastAsia"/>
          <w:sz w:val="30"/>
          <w:szCs w:val="30"/>
        </w:rPr>
        <w:t>风险</w:t>
      </w:r>
      <w:r w:rsidR="00666425" w:rsidRPr="00AE7621">
        <w:rPr>
          <w:rFonts w:ascii="仿宋" w:eastAsia="仿宋" w:hAnsi="仿宋"/>
          <w:sz w:val="30"/>
          <w:szCs w:val="30"/>
        </w:rPr>
        <w:t>。</w:t>
      </w:r>
    </w:p>
    <w:p w14:paraId="40000599" w14:textId="49D12281" w:rsidR="00B11EA9" w:rsidRDefault="00C632D1" w:rsidP="00666425">
      <w:pPr>
        <w:spacing w:line="540" w:lineRule="exact"/>
        <w:ind w:firstLineChars="202" w:firstLine="606"/>
        <w:rPr>
          <w:rFonts w:ascii="仿宋" w:eastAsia="仿宋" w:hAnsi="仿宋"/>
          <w:sz w:val="30"/>
          <w:szCs w:val="30"/>
        </w:rPr>
      </w:pPr>
      <w:r w:rsidRPr="002C6A25">
        <w:rPr>
          <w:rFonts w:ascii="仿宋" w:eastAsia="仿宋" w:hAnsi="仿宋" w:hint="eastAsia"/>
          <w:sz w:val="30"/>
          <w:szCs w:val="30"/>
        </w:rPr>
        <w:t>风险因素多以假设形式提出，</w:t>
      </w:r>
      <w:r w:rsidR="00A8178B">
        <w:rPr>
          <w:rFonts w:ascii="仿宋" w:eastAsia="仿宋" w:hAnsi="仿宋" w:hint="eastAsia"/>
          <w:sz w:val="30"/>
          <w:szCs w:val="30"/>
        </w:rPr>
        <w:t>但</w:t>
      </w:r>
      <w:r>
        <w:rPr>
          <w:rFonts w:ascii="仿宋" w:eastAsia="仿宋" w:hAnsi="仿宋" w:hint="eastAsia"/>
          <w:sz w:val="30"/>
          <w:szCs w:val="30"/>
        </w:rPr>
        <w:t>要确证风险因素的存在，还需要证据的支持。</w:t>
      </w:r>
      <w:proofErr w:type="gramStart"/>
      <w:r w:rsidR="00666425" w:rsidRPr="00737AD4">
        <w:rPr>
          <w:rFonts w:ascii="仿宋" w:eastAsia="仿宋" w:hAnsi="仿宋" w:hint="eastAsia"/>
          <w:sz w:val="30"/>
          <w:szCs w:val="30"/>
        </w:rPr>
        <w:t>个例报告</w:t>
      </w:r>
      <w:proofErr w:type="gramEnd"/>
      <w:r>
        <w:rPr>
          <w:rFonts w:ascii="仿宋" w:eastAsia="仿宋" w:hAnsi="仿宋" w:hint="eastAsia"/>
          <w:sz w:val="30"/>
          <w:szCs w:val="30"/>
        </w:rPr>
        <w:t>在</w:t>
      </w:r>
      <w:r w:rsidR="00666425">
        <w:rPr>
          <w:rFonts w:ascii="仿宋" w:eastAsia="仿宋" w:hAnsi="仿宋" w:hint="eastAsia"/>
          <w:sz w:val="30"/>
          <w:szCs w:val="30"/>
        </w:rPr>
        <w:t>提示风险因素</w:t>
      </w:r>
      <w:r>
        <w:rPr>
          <w:rFonts w:ascii="仿宋" w:eastAsia="仿宋" w:hAnsi="仿宋" w:hint="eastAsia"/>
          <w:sz w:val="30"/>
          <w:szCs w:val="30"/>
        </w:rPr>
        <w:t>方面</w:t>
      </w:r>
      <w:r w:rsidR="00666425">
        <w:rPr>
          <w:rFonts w:ascii="仿宋" w:eastAsia="仿宋" w:hAnsi="仿宋" w:hint="eastAsia"/>
          <w:sz w:val="30"/>
          <w:szCs w:val="30"/>
        </w:rPr>
        <w:t>有</w:t>
      </w:r>
      <w:r w:rsidR="008F01A1">
        <w:rPr>
          <w:rFonts w:ascii="仿宋" w:eastAsia="仿宋" w:hAnsi="仿宋" w:hint="eastAsia"/>
          <w:sz w:val="30"/>
          <w:szCs w:val="30"/>
        </w:rPr>
        <w:t>重要</w:t>
      </w:r>
      <w:r w:rsidR="00666425">
        <w:rPr>
          <w:rFonts w:ascii="仿宋" w:eastAsia="仿宋" w:hAnsi="仿宋" w:hint="eastAsia"/>
          <w:sz w:val="30"/>
          <w:szCs w:val="30"/>
        </w:rPr>
        <w:t>作用</w:t>
      </w:r>
      <w:r w:rsidR="00FC3C8E">
        <w:rPr>
          <w:rFonts w:ascii="仿宋" w:eastAsia="仿宋" w:hAnsi="仿宋" w:hint="eastAsia"/>
          <w:sz w:val="30"/>
          <w:szCs w:val="30"/>
        </w:rPr>
        <w:t>，例如</w:t>
      </w:r>
      <w:r w:rsidR="008F01A1">
        <w:rPr>
          <w:rFonts w:ascii="仿宋" w:eastAsia="仿宋" w:hAnsi="仿宋" w:hint="eastAsia"/>
          <w:sz w:val="30"/>
          <w:szCs w:val="30"/>
        </w:rPr>
        <w:t>通过</w:t>
      </w:r>
      <w:r w:rsidR="009A0F24">
        <w:rPr>
          <w:rFonts w:ascii="仿宋" w:eastAsia="仿宋" w:hAnsi="仿宋" w:hint="eastAsia"/>
          <w:sz w:val="30"/>
          <w:szCs w:val="30"/>
        </w:rPr>
        <w:t>对</w:t>
      </w:r>
      <w:r w:rsidR="008F01A1">
        <w:rPr>
          <w:rFonts w:ascii="仿宋" w:eastAsia="仿宋" w:hAnsi="仿宋" w:hint="eastAsia"/>
          <w:sz w:val="30"/>
          <w:szCs w:val="30"/>
        </w:rPr>
        <w:t>关注病例的特征分析</w:t>
      </w:r>
      <w:r w:rsidR="00FC3C8E">
        <w:rPr>
          <w:rFonts w:ascii="仿宋" w:eastAsia="仿宋" w:hAnsi="仿宋" w:hint="eastAsia"/>
          <w:sz w:val="30"/>
          <w:szCs w:val="30"/>
        </w:rPr>
        <w:t>，</w:t>
      </w:r>
      <w:r w:rsidR="008F01A1">
        <w:rPr>
          <w:rFonts w:ascii="仿宋" w:eastAsia="仿宋" w:hAnsi="仿宋" w:hint="eastAsia"/>
          <w:sz w:val="30"/>
          <w:szCs w:val="30"/>
        </w:rPr>
        <w:t>或</w:t>
      </w:r>
      <w:r w:rsidR="00FC3C8E">
        <w:rPr>
          <w:rFonts w:ascii="仿宋" w:eastAsia="仿宋" w:hAnsi="仿宋" w:hint="eastAsia"/>
          <w:sz w:val="30"/>
          <w:szCs w:val="30"/>
        </w:rPr>
        <w:t>进行</w:t>
      </w:r>
      <w:r w:rsidR="00863137">
        <w:rPr>
          <w:rFonts w:ascii="仿宋" w:eastAsia="仿宋" w:hAnsi="仿宋" w:hint="eastAsia"/>
          <w:sz w:val="30"/>
          <w:szCs w:val="30"/>
        </w:rPr>
        <w:t>简单的</w:t>
      </w:r>
      <w:r w:rsidR="00FC3C8E">
        <w:rPr>
          <w:rFonts w:ascii="仿宋" w:eastAsia="仿宋" w:hAnsi="仿宋" w:hint="eastAsia"/>
          <w:sz w:val="30"/>
          <w:szCs w:val="30"/>
        </w:rPr>
        <w:t>统计学分析（如分层卡方检验、</w:t>
      </w:r>
      <w:r w:rsidR="008F01A1">
        <w:rPr>
          <w:rFonts w:ascii="仿宋" w:eastAsia="仿宋" w:hAnsi="仿宋" w:hint="eastAsia"/>
          <w:sz w:val="30"/>
          <w:szCs w:val="30"/>
        </w:rPr>
        <w:t>多因素回归</w:t>
      </w:r>
      <w:r w:rsidR="009A0F24">
        <w:rPr>
          <w:rFonts w:ascii="仿宋" w:eastAsia="仿宋" w:hAnsi="仿宋" w:hint="eastAsia"/>
          <w:sz w:val="30"/>
          <w:szCs w:val="30"/>
        </w:rPr>
        <w:t>法</w:t>
      </w:r>
      <w:r w:rsidR="008F01A1">
        <w:rPr>
          <w:rFonts w:ascii="仿宋" w:eastAsia="仿宋" w:hAnsi="仿宋" w:hint="eastAsia"/>
          <w:sz w:val="30"/>
          <w:szCs w:val="30"/>
        </w:rPr>
        <w:t>统计分析</w:t>
      </w:r>
      <w:r w:rsidR="00FC3C8E">
        <w:rPr>
          <w:rFonts w:ascii="仿宋" w:eastAsia="仿宋" w:hAnsi="仿宋" w:hint="eastAsia"/>
          <w:sz w:val="30"/>
          <w:szCs w:val="30"/>
        </w:rPr>
        <w:t>）可能发</w:t>
      </w:r>
      <w:r w:rsidR="009A0F24">
        <w:rPr>
          <w:rFonts w:ascii="仿宋" w:eastAsia="仿宋" w:hAnsi="仿宋" w:hint="eastAsia"/>
          <w:sz w:val="30"/>
          <w:szCs w:val="30"/>
        </w:rPr>
        <w:t>现</w:t>
      </w:r>
      <w:r w:rsidR="00FC3C8E">
        <w:rPr>
          <w:rFonts w:ascii="仿宋" w:eastAsia="仿宋" w:hAnsi="仿宋" w:hint="eastAsia"/>
          <w:sz w:val="30"/>
          <w:szCs w:val="30"/>
        </w:rPr>
        <w:t>某些</w:t>
      </w:r>
      <w:r w:rsidR="009A0F24">
        <w:rPr>
          <w:rFonts w:ascii="仿宋" w:eastAsia="仿宋" w:hAnsi="仿宋" w:hint="eastAsia"/>
          <w:sz w:val="30"/>
          <w:szCs w:val="30"/>
        </w:rPr>
        <w:t>风险因素，</w:t>
      </w:r>
      <w:r w:rsidR="00666425">
        <w:rPr>
          <w:rFonts w:ascii="仿宋" w:eastAsia="仿宋" w:hAnsi="仿宋" w:hint="eastAsia"/>
          <w:sz w:val="30"/>
          <w:szCs w:val="30"/>
        </w:rPr>
        <w:t>但在确证因素与风险</w:t>
      </w:r>
      <w:r>
        <w:rPr>
          <w:rFonts w:ascii="仿宋" w:eastAsia="仿宋" w:hAnsi="仿宋" w:hint="eastAsia"/>
          <w:sz w:val="30"/>
          <w:szCs w:val="30"/>
        </w:rPr>
        <w:t>之间相关性</w:t>
      </w:r>
      <w:r w:rsidR="00380BE4">
        <w:rPr>
          <w:rFonts w:ascii="仿宋" w:eastAsia="仿宋" w:hAnsi="仿宋" w:hint="eastAsia"/>
          <w:sz w:val="30"/>
          <w:szCs w:val="30"/>
        </w:rPr>
        <w:t>方面</w:t>
      </w:r>
      <w:r w:rsidR="00A8178B">
        <w:rPr>
          <w:rFonts w:ascii="仿宋" w:eastAsia="仿宋" w:hAnsi="仿宋" w:hint="eastAsia"/>
          <w:sz w:val="30"/>
          <w:szCs w:val="30"/>
        </w:rPr>
        <w:t>还</w:t>
      </w:r>
      <w:r w:rsidR="00B11EA9">
        <w:rPr>
          <w:rFonts w:ascii="仿宋" w:eastAsia="仿宋" w:hAnsi="仿宋" w:hint="eastAsia"/>
          <w:sz w:val="30"/>
          <w:szCs w:val="30"/>
        </w:rPr>
        <w:t>存在局</w:t>
      </w:r>
      <w:r w:rsidR="00FC3C8E">
        <w:rPr>
          <w:rFonts w:ascii="仿宋" w:eastAsia="仿宋" w:hAnsi="仿宋" w:hint="eastAsia"/>
          <w:sz w:val="30"/>
          <w:szCs w:val="30"/>
        </w:rPr>
        <w:t>限</w:t>
      </w:r>
      <w:r w:rsidR="00B11EA9">
        <w:rPr>
          <w:rFonts w:ascii="仿宋" w:eastAsia="仿宋" w:hAnsi="仿宋" w:hint="eastAsia"/>
          <w:sz w:val="30"/>
          <w:szCs w:val="30"/>
        </w:rPr>
        <w:t>性或</w:t>
      </w:r>
      <w:r w:rsidR="00666425" w:rsidRPr="00737AD4">
        <w:rPr>
          <w:rFonts w:ascii="仿宋" w:eastAsia="仿宋" w:hAnsi="仿宋" w:hint="eastAsia"/>
          <w:sz w:val="30"/>
          <w:szCs w:val="30"/>
        </w:rPr>
        <w:t>价值有限</w:t>
      </w:r>
      <w:r w:rsidR="00666425" w:rsidRPr="00737AD4">
        <w:rPr>
          <w:rFonts w:ascii="仿宋" w:eastAsia="仿宋" w:hAnsi="仿宋"/>
          <w:sz w:val="30"/>
          <w:szCs w:val="30"/>
        </w:rPr>
        <w:t>。</w:t>
      </w:r>
    </w:p>
    <w:p w14:paraId="3AD80A3A" w14:textId="37FF7C95" w:rsidR="00863137" w:rsidRDefault="00666425" w:rsidP="00666425">
      <w:pPr>
        <w:spacing w:line="540" w:lineRule="exact"/>
        <w:ind w:firstLineChars="202" w:firstLine="606"/>
        <w:rPr>
          <w:rFonts w:ascii="仿宋" w:eastAsia="仿宋" w:hAnsi="仿宋"/>
          <w:sz w:val="30"/>
          <w:szCs w:val="30"/>
        </w:rPr>
      </w:pPr>
      <w:r>
        <w:rPr>
          <w:rFonts w:ascii="仿宋" w:eastAsia="仿宋" w:hAnsi="仿宋" w:hint="eastAsia"/>
          <w:sz w:val="30"/>
          <w:szCs w:val="30"/>
        </w:rPr>
        <w:t>定性或定量的分析性研究方法可为风险因素的评价提供更加科学的证据，例如病例</w:t>
      </w:r>
      <w:r w:rsidRPr="00737AD4">
        <w:rPr>
          <w:rFonts w:ascii="仿宋" w:eastAsia="仿宋" w:hAnsi="仿宋"/>
          <w:sz w:val="30"/>
          <w:szCs w:val="30"/>
        </w:rPr>
        <w:t>对照研究</w:t>
      </w:r>
      <w:r>
        <w:rPr>
          <w:rFonts w:ascii="仿宋" w:eastAsia="仿宋" w:hAnsi="仿宋" w:hint="eastAsia"/>
          <w:sz w:val="30"/>
          <w:szCs w:val="30"/>
        </w:rPr>
        <w:t>（包括自身病例对照研究）、队列研究、</w:t>
      </w:r>
      <w:r w:rsidR="00F97BD6">
        <w:rPr>
          <w:rFonts w:ascii="仿宋" w:eastAsia="仿宋" w:hAnsi="仿宋" w:hint="eastAsia"/>
          <w:sz w:val="30"/>
          <w:szCs w:val="30"/>
        </w:rPr>
        <w:t>随机对照临床试验（</w:t>
      </w:r>
      <w:r>
        <w:rPr>
          <w:rFonts w:ascii="仿宋" w:eastAsia="仿宋" w:hAnsi="仿宋" w:hint="eastAsia"/>
          <w:sz w:val="30"/>
          <w:szCs w:val="30"/>
        </w:rPr>
        <w:t>RCT</w:t>
      </w:r>
      <w:r w:rsidR="00F97BD6">
        <w:rPr>
          <w:rFonts w:ascii="仿宋" w:eastAsia="仿宋" w:hAnsi="仿宋" w:hint="eastAsia"/>
          <w:sz w:val="30"/>
          <w:szCs w:val="30"/>
        </w:rPr>
        <w:t>）</w:t>
      </w:r>
      <w:r>
        <w:rPr>
          <w:rFonts w:ascii="仿宋" w:eastAsia="仿宋" w:hAnsi="仿宋" w:hint="eastAsia"/>
          <w:sz w:val="30"/>
          <w:szCs w:val="30"/>
        </w:rPr>
        <w:t>、多个RCT的系统评价等。应当充分检索国内外文献中的相关研究，如果</w:t>
      </w:r>
      <w:r w:rsidRPr="00C314C6">
        <w:rPr>
          <w:rFonts w:ascii="仿宋" w:eastAsia="仿宋" w:hAnsi="仿宋" w:hint="eastAsia"/>
          <w:sz w:val="30"/>
          <w:szCs w:val="30"/>
        </w:rPr>
        <w:t>无法</w:t>
      </w:r>
      <w:r w:rsidR="00380BE4">
        <w:rPr>
          <w:rFonts w:ascii="仿宋" w:eastAsia="仿宋" w:hAnsi="仿宋" w:hint="eastAsia"/>
          <w:sz w:val="30"/>
          <w:szCs w:val="30"/>
        </w:rPr>
        <w:t>获取有价值的研究证据</w:t>
      </w:r>
      <w:r w:rsidRPr="00C314C6">
        <w:rPr>
          <w:rFonts w:ascii="仿宋" w:eastAsia="仿宋" w:hAnsi="仿宋" w:hint="eastAsia"/>
          <w:sz w:val="30"/>
          <w:szCs w:val="30"/>
        </w:rPr>
        <w:t>，</w:t>
      </w:r>
      <w:r w:rsidR="00A8178B">
        <w:rPr>
          <w:rFonts w:ascii="仿宋" w:eastAsia="仿宋" w:hAnsi="仿宋" w:hint="eastAsia"/>
          <w:sz w:val="30"/>
          <w:szCs w:val="30"/>
        </w:rPr>
        <w:t>持有人</w:t>
      </w:r>
      <w:r w:rsidRPr="00C314C6">
        <w:rPr>
          <w:rFonts w:ascii="仿宋" w:eastAsia="仿宋" w:hAnsi="仿宋" w:hint="eastAsia"/>
          <w:sz w:val="30"/>
          <w:szCs w:val="30"/>
        </w:rPr>
        <w:t>应考虑自行开展研究</w:t>
      </w:r>
      <w:r w:rsidR="00B40C14">
        <w:rPr>
          <w:rFonts w:ascii="仿宋" w:eastAsia="仿宋" w:hAnsi="仿宋" w:hint="eastAsia"/>
          <w:sz w:val="30"/>
          <w:szCs w:val="30"/>
        </w:rPr>
        <w:t>工作。</w:t>
      </w:r>
    </w:p>
    <w:p w14:paraId="2BCD6D64" w14:textId="6D1AD0AC" w:rsidR="00666425" w:rsidRDefault="00666425" w:rsidP="00A8178B">
      <w:pPr>
        <w:spacing w:line="540" w:lineRule="exact"/>
        <w:ind w:firstLineChars="202" w:firstLine="606"/>
        <w:rPr>
          <w:rFonts w:ascii="仿宋" w:eastAsia="仿宋" w:hAnsi="仿宋"/>
          <w:sz w:val="30"/>
          <w:szCs w:val="30"/>
        </w:rPr>
      </w:pPr>
      <w:r>
        <w:rPr>
          <w:rFonts w:ascii="仿宋" w:eastAsia="仿宋" w:hAnsi="仿宋" w:hint="eastAsia"/>
          <w:sz w:val="30"/>
          <w:szCs w:val="30"/>
        </w:rPr>
        <w:t>对于评价药品体外配伍禁忌（例如A药品是否能与B药品在同一个输液容器中混合使</w:t>
      </w:r>
      <w:r w:rsidR="0092149D">
        <w:rPr>
          <w:rFonts w:ascii="仿宋" w:eastAsia="仿宋" w:hAnsi="仿宋" w:hint="eastAsia"/>
          <w:sz w:val="30"/>
          <w:szCs w:val="30"/>
        </w:rPr>
        <w:t>用），文献中的报道一般不作为评价结论的直接证据，建议持有人开展严谨的科学试验</w:t>
      </w:r>
      <w:r>
        <w:rPr>
          <w:rFonts w:ascii="仿宋" w:eastAsia="仿宋" w:hAnsi="仿宋" w:hint="eastAsia"/>
          <w:sz w:val="30"/>
          <w:szCs w:val="30"/>
        </w:rPr>
        <w:t>。</w:t>
      </w:r>
    </w:p>
    <w:p w14:paraId="570B9EC7" w14:textId="02E5DA66" w:rsidR="001514FD" w:rsidRPr="001C42C2" w:rsidRDefault="001514FD" w:rsidP="009F2651">
      <w:pPr>
        <w:pStyle w:val="a7"/>
        <w:numPr>
          <w:ilvl w:val="1"/>
          <w:numId w:val="20"/>
        </w:numPr>
        <w:tabs>
          <w:tab w:val="left" w:pos="709"/>
        </w:tabs>
        <w:spacing w:line="540" w:lineRule="exact"/>
        <w:ind w:firstLineChars="0" w:hanging="5"/>
        <w:outlineLvl w:val="1"/>
        <w:rPr>
          <w:rFonts w:ascii="楷体" w:eastAsia="楷体" w:hAnsi="楷体"/>
          <w:sz w:val="30"/>
          <w:szCs w:val="30"/>
        </w:rPr>
      </w:pPr>
      <w:bookmarkStart w:id="12" w:name="_Toc167653166"/>
      <w:bookmarkStart w:id="13" w:name="_Toc177114414"/>
      <w:r w:rsidRPr="001C42C2">
        <w:rPr>
          <w:rFonts w:ascii="楷体" w:eastAsia="楷体" w:hAnsi="楷体" w:hint="eastAsia"/>
          <w:sz w:val="30"/>
          <w:szCs w:val="30"/>
        </w:rPr>
        <w:t>评价药品使用相关问题</w:t>
      </w:r>
      <w:bookmarkEnd w:id="12"/>
      <w:bookmarkEnd w:id="13"/>
    </w:p>
    <w:p w14:paraId="308A0DB1" w14:textId="709E2488" w:rsidR="00B94D43" w:rsidRDefault="001514FD" w:rsidP="001514FD">
      <w:pPr>
        <w:spacing w:line="540" w:lineRule="exact"/>
        <w:ind w:firstLineChars="202" w:firstLine="606"/>
        <w:rPr>
          <w:rFonts w:ascii="仿宋" w:eastAsia="仿宋" w:hAnsi="仿宋"/>
          <w:sz w:val="30"/>
          <w:szCs w:val="30"/>
        </w:rPr>
      </w:pPr>
      <w:r>
        <w:rPr>
          <w:rFonts w:ascii="仿宋" w:eastAsia="仿宋" w:hAnsi="仿宋" w:hint="eastAsia"/>
          <w:sz w:val="30"/>
          <w:szCs w:val="30"/>
        </w:rPr>
        <w:t>与药品使用相关的安全性问题包括药品的</w:t>
      </w:r>
      <w:r w:rsidRPr="00597C2B">
        <w:rPr>
          <w:rFonts w:ascii="仿宋" w:eastAsia="仿宋" w:hAnsi="仿宋" w:hint="eastAsia"/>
          <w:sz w:val="30"/>
          <w:szCs w:val="30"/>
        </w:rPr>
        <w:t>滥用、误用、</w:t>
      </w:r>
      <w:r>
        <w:rPr>
          <w:rFonts w:ascii="仿宋" w:eastAsia="仿宋" w:hAnsi="仿宋" w:hint="eastAsia"/>
          <w:sz w:val="30"/>
          <w:szCs w:val="30"/>
        </w:rPr>
        <w:t>用药错误、超说明书用药、不合理使用等。此类评价中，</w:t>
      </w:r>
      <w:proofErr w:type="gramStart"/>
      <w:r>
        <w:rPr>
          <w:rFonts w:ascii="仿宋" w:eastAsia="仿宋" w:hAnsi="仿宋" w:hint="eastAsia"/>
          <w:sz w:val="30"/>
          <w:szCs w:val="30"/>
        </w:rPr>
        <w:t>个</w:t>
      </w:r>
      <w:proofErr w:type="gramEnd"/>
      <w:r>
        <w:rPr>
          <w:rFonts w:ascii="仿宋" w:eastAsia="仿宋" w:hAnsi="仿宋" w:hint="eastAsia"/>
          <w:sz w:val="30"/>
          <w:szCs w:val="30"/>
        </w:rPr>
        <w:t>例病例报告仍是评价的基础，应尽量收集</w:t>
      </w:r>
      <w:r w:rsidR="003828A0">
        <w:rPr>
          <w:rFonts w:ascii="仿宋" w:eastAsia="仿宋" w:hAnsi="仿宋" w:hint="eastAsia"/>
          <w:sz w:val="30"/>
          <w:szCs w:val="30"/>
        </w:rPr>
        <w:t>药物警戒</w:t>
      </w:r>
      <w:r>
        <w:rPr>
          <w:rFonts w:ascii="仿宋" w:eastAsia="仿宋" w:hAnsi="仿宋" w:hint="eastAsia"/>
          <w:sz w:val="30"/>
          <w:szCs w:val="30"/>
        </w:rPr>
        <w:t>数据库和文献中的</w:t>
      </w:r>
      <w:proofErr w:type="gramStart"/>
      <w:r w:rsidR="00957AB8">
        <w:rPr>
          <w:rFonts w:ascii="仿宋" w:eastAsia="仿宋" w:hAnsi="仿宋" w:hint="eastAsia"/>
          <w:sz w:val="30"/>
          <w:szCs w:val="30"/>
        </w:rPr>
        <w:t>个</w:t>
      </w:r>
      <w:proofErr w:type="gramEnd"/>
      <w:r w:rsidR="00957AB8">
        <w:rPr>
          <w:rFonts w:ascii="仿宋" w:eastAsia="仿宋" w:hAnsi="仿宋" w:hint="eastAsia"/>
          <w:sz w:val="30"/>
          <w:szCs w:val="30"/>
        </w:rPr>
        <w:t>例</w:t>
      </w:r>
      <w:r w:rsidR="00957AB8">
        <w:rPr>
          <w:rFonts w:ascii="仿宋" w:eastAsia="仿宋" w:hAnsi="仿宋" w:hint="eastAsia"/>
          <w:sz w:val="30"/>
          <w:szCs w:val="30"/>
        </w:rPr>
        <w:lastRenderedPageBreak/>
        <w:t>病例并进行分析</w:t>
      </w:r>
      <w:r>
        <w:rPr>
          <w:rFonts w:ascii="仿宋" w:eastAsia="仿宋" w:hAnsi="仿宋" w:hint="eastAsia"/>
          <w:sz w:val="30"/>
          <w:szCs w:val="30"/>
        </w:rPr>
        <w:t>，关注使用问题产生的原因、程度以及对药品整体安全性的影响。</w:t>
      </w:r>
    </w:p>
    <w:p w14:paraId="7BAE461E" w14:textId="7B166252" w:rsidR="00356836" w:rsidRDefault="00356836" w:rsidP="001514FD">
      <w:pPr>
        <w:spacing w:line="540" w:lineRule="exact"/>
        <w:ind w:firstLineChars="202" w:firstLine="606"/>
        <w:rPr>
          <w:rFonts w:ascii="仿宋" w:eastAsia="仿宋" w:hAnsi="仿宋"/>
          <w:sz w:val="30"/>
          <w:szCs w:val="30"/>
        </w:rPr>
      </w:pPr>
      <w:r>
        <w:rPr>
          <w:rFonts w:ascii="仿宋" w:eastAsia="仿宋" w:hAnsi="仿宋" w:hint="eastAsia"/>
          <w:sz w:val="30"/>
          <w:szCs w:val="30"/>
        </w:rPr>
        <w:t>检索</w:t>
      </w:r>
      <w:r w:rsidR="006D6E0D">
        <w:rPr>
          <w:rFonts w:ascii="仿宋" w:eastAsia="仿宋" w:hAnsi="仿宋" w:hint="eastAsia"/>
          <w:sz w:val="30"/>
          <w:szCs w:val="30"/>
        </w:rPr>
        <w:t>与使用相关的问题</w:t>
      </w:r>
      <w:proofErr w:type="gramStart"/>
      <w:r w:rsidR="006D6E0D">
        <w:rPr>
          <w:rFonts w:ascii="仿宋" w:eastAsia="仿宋" w:hAnsi="仿宋" w:hint="eastAsia"/>
          <w:sz w:val="30"/>
          <w:szCs w:val="30"/>
        </w:rPr>
        <w:t>个</w:t>
      </w:r>
      <w:proofErr w:type="gramEnd"/>
      <w:r w:rsidR="006D6E0D">
        <w:rPr>
          <w:rFonts w:ascii="仿宋" w:eastAsia="仿宋" w:hAnsi="仿宋" w:hint="eastAsia"/>
          <w:sz w:val="30"/>
          <w:szCs w:val="30"/>
        </w:rPr>
        <w:t>例报告，评价人员</w:t>
      </w:r>
      <w:r w:rsidR="00283410">
        <w:rPr>
          <w:rFonts w:ascii="仿宋" w:eastAsia="仿宋" w:hAnsi="仿宋" w:hint="eastAsia"/>
          <w:sz w:val="30"/>
          <w:szCs w:val="30"/>
        </w:rPr>
        <w:t>可能需要先</w:t>
      </w:r>
      <w:r w:rsidR="006D6E0D">
        <w:rPr>
          <w:rFonts w:ascii="仿宋" w:eastAsia="仿宋" w:hAnsi="仿宋" w:hint="eastAsia"/>
          <w:sz w:val="30"/>
          <w:szCs w:val="30"/>
        </w:rPr>
        <w:t>定义</w:t>
      </w:r>
      <w:r>
        <w:rPr>
          <w:rFonts w:ascii="仿宋" w:eastAsia="仿宋" w:hAnsi="仿宋" w:hint="eastAsia"/>
          <w:sz w:val="30"/>
          <w:szCs w:val="30"/>
        </w:rPr>
        <w:t>相关概念或标准</w:t>
      </w:r>
      <w:r w:rsidR="00283410">
        <w:rPr>
          <w:rFonts w:ascii="仿宋" w:eastAsia="仿宋" w:hAnsi="仿宋" w:hint="eastAsia"/>
          <w:sz w:val="30"/>
          <w:szCs w:val="30"/>
        </w:rPr>
        <w:t>（如滥用、误用、用药错误等）</w:t>
      </w:r>
      <w:r>
        <w:rPr>
          <w:rFonts w:ascii="仿宋" w:eastAsia="仿宋" w:hAnsi="仿宋" w:hint="eastAsia"/>
          <w:sz w:val="30"/>
          <w:szCs w:val="30"/>
        </w:rPr>
        <w:t>，</w:t>
      </w:r>
      <w:r w:rsidR="001514FD">
        <w:rPr>
          <w:rFonts w:ascii="仿宋" w:eastAsia="仿宋" w:hAnsi="仿宋" w:hint="eastAsia"/>
          <w:sz w:val="30"/>
          <w:szCs w:val="30"/>
        </w:rPr>
        <w:t>再制定全面</w:t>
      </w:r>
      <w:r w:rsidR="006D6E0D">
        <w:rPr>
          <w:rFonts w:ascii="仿宋" w:eastAsia="仿宋" w:hAnsi="仿宋" w:hint="eastAsia"/>
          <w:sz w:val="30"/>
          <w:szCs w:val="30"/>
        </w:rPr>
        <w:t>、科学</w:t>
      </w:r>
      <w:r w:rsidR="001514FD">
        <w:rPr>
          <w:rFonts w:ascii="仿宋" w:eastAsia="仿宋" w:hAnsi="仿宋" w:hint="eastAsia"/>
          <w:sz w:val="30"/>
          <w:szCs w:val="30"/>
        </w:rPr>
        <w:t>的检索策略。应当注意，药品使用问题不一定伴随不良反应的发生，因此在检索</w:t>
      </w:r>
      <w:r w:rsidR="00B6688A">
        <w:rPr>
          <w:rFonts w:ascii="仿宋" w:eastAsia="仿宋" w:hAnsi="仿宋" w:hint="eastAsia"/>
          <w:sz w:val="30"/>
          <w:szCs w:val="30"/>
        </w:rPr>
        <w:t>药物警戒</w:t>
      </w:r>
      <w:r w:rsidR="001514FD">
        <w:rPr>
          <w:rFonts w:ascii="仿宋" w:eastAsia="仿宋" w:hAnsi="仿宋" w:hint="eastAsia"/>
          <w:sz w:val="30"/>
          <w:szCs w:val="30"/>
        </w:rPr>
        <w:t>数据库时，除了检索“不良反应”字段外，可能还需要以适应症、用药原因、用法用量等字段为入口进行检索。</w:t>
      </w:r>
    </w:p>
    <w:p w14:paraId="73D70ADC" w14:textId="236F7F85" w:rsidR="001514FD" w:rsidRDefault="00283410" w:rsidP="001514FD">
      <w:pPr>
        <w:spacing w:line="540" w:lineRule="exact"/>
        <w:ind w:firstLineChars="202" w:firstLine="606"/>
        <w:rPr>
          <w:rFonts w:ascii="仿宋" w:eastAsia="仿宋" w:hAnsi="仿宋"/>
          <w:sz w:val="30"/>
          <w:szCs w:val="30"/>
        </w:rPr>
      </w:pPr>
      <w:r>
        <w:rPr>
          <w:rFonts w:ascii="仿宋" w:eastAsia="仿宋" w:hAnsi="仿宋" w:hint="eastAsia"/>
          <w:sz w:val="30"/>
          <w:szCs w:val="30"/>
        </w:rPr>
        <w:t>文献检索中除关注</w:t>
      </w:r>
      <w:r w:rsidR="001514FD">
        <w:rPr>
          <w:rFonts w:ascii="仿宋" w:eastAsia="仿宋" w:hAnsi="仿宋" w:hint="eastAsia"/>
          <w:sz w:val="30"/>
          <w:szCs w:val="30"/>
        </w:rPr>
        <w:t>个案报道外，还应关注与使用问题相关的研究、调查、综述类</w:t>
      </w:r>
      <w:r w:rsidR="00B6688A">
        <w:rPr>
          <w:rFonts w:ascii="仿宋" w:eastAsia="仿宋" w:hAnsi="仿宋" w:hint="eastAsia"/>
          <w:sz w:val="30"/>
          <w:szCs w:val="30"/>
        </w:rPr>
        <w:t>型</w:t>
      </w:r>
      <w:r w:rsidR="001514FD">
        <w:rPr>
          <w:rFonts w:ascii="仿宋" w:eastAsia="仿宋" w:hAnsi="仿宋" w:hint="eastAsia"/>
          <w:sz w:val="30"/>
          <w:szCs w:val="30"/>
        </w:rPr>
        <w:t>的文章，从中获取有价值的信息。必要时</w:t>
      </w:r>
      <w:r w:rsidR="00356836">
        <w:rPr>
          <w:rFonts w:ascii="仿宋" w:eastAsia="仿宋" w:hAnsi="仿宋" w:hint="eastAsia"/>
          <w:sz w:val="30"/>
          <w:szCs w:val="30"/>
        </w:rPr>
        <w:t>持有人</w:t>
      </w:r>
      <w:r w:rsidR="001514FD">
        <w:rPr>
          <w:rFonts w:ascii="仿宋" w:eastAsia="仿宋" w:hAnsi="仿宋" w:hint="eastAsia"/>
          <w:sz w:val="30"/>
          <w:szCs w:val="30"/>
        </w:rPr>
        <w:t>应开展针对使用单位、用药人群的调查</w:t>
      </w:r>
      <w:r>
        <w:rPr>
          <w:rFonts w:ascii="仿宋" w:eastAsia="仿宋" w:hAnsi="仿宋" w:hint="eastAsia"/>
          <w:sz w:val="30"/>
          <w:szCs w:val="30"/>
        </w:rPr>
        <w:t>和研究</w:t>
      </w:r>
      <w:r w:rsidR="001514FD">
        <w:rPr>
          <w:rFonts w:ascii="仿宋" w:eastAsia="仿宋" w:hAnsi="仿宋" w:hint="eastAsia"/>
          <w:sz w:val="30"/>
          <w:szCs w:val="30"/>
        </w:rPr>
        <w:t>。</w:t>
      </w:r>
    </w:p>
    <w:p w14:paraId="02EA6940" w14:textId="02B0BBB2" w:rsidR="00666425" w:rsidRDefault="007B0B7E" w:rsidP="009F2651">
      <w:pPr>
        <w:pStyle w:val="a7"/>
        <w:numPr>
          <w:ilvl w:val="1"/>
          <w:numId w:val="20"/>
        </w:numPr>
        <w:tabs>
          <w:tab w:val="left" w:pos="709"/>
        </w:tabs>
        <w:spacing w:line="540" w:lineRule="exact"/>
        <w:ind w:firstLineChars="0" w:hanging="5"/>
        <w:outlineLvl w:val="1"/>
        <w:rPr>
          <w:rFonts w:ascii="楷体" w:eastAsia="楷体" w:hAnsi="楷体"/>
          <w:sz w:val="30"/>
          <w:szCs w:val="30"/>
        </w:rPr>
      </w:pPr>
      <w:bookmarkStart w:id="14" w:name="_Toc177114415"/>
      <w:r>
        <w:rPr>
          <w:rFonts w:ascii="楷体" w:eastAsia="楷体" w:hAnsi="楷体" w:hint="eastAsia"/>
          <w:sz w:val="30"/>
          <w:szCs w:val="30"/>
        </w:rPr>
        <w:t>药品</w:t>
      </w:r>
      <w:r w:rsidR="00666425">
        <w:rPr>
          <w:rFonts w:ascii="楷体" w:eastAsia="楷体" w:hAnsi="楷体" w:hint="eastAsia"/>
          <w:sz w:val="30"/>
          <w:szCs w:val="30"/>
        </w:rPr>
        <w:t>获益</w:t>
      </w:r>
      <w:r w:rsidR="006050E8">
        <w:rPr>
          <w:rFonts w:ascii="楷体" w:eastAsia="楷体" w:hAnsi="楷体" w:hint="eastAsia"/>
          <w:sz w:val="30"/>
          <w:szCs w:val="30"/>
        </w:rPr>
        <w:t>分析</w:t>
      </w:r>
      <w:bookmarkEnd w:id="14"/>
    </w:p>
    <w:p w14:paraId="2C50CA37" w14:textId="1DDE9C62" w:rsidR="007E0354" w:rsidRPr="007E0354" w:rsidRDefault="007E0354" w:rsidP="007E0354">
      <w:pPr>
        <w:spacing w:line="540" w:lineRule="exact"/>
        <w:ind w:firstLineChars="200" w:firstLine="600"/>
        <w:rPr>
          <w:rFonts w:ascii="仿宋" w:eastAsia="仿宋" w:hAnsi="仿宋"/>
          <w:sz w:val="30"/>
          <w:szCs w:val="30"/>
        </w:rPr>
      </w:pPr>
      <w:r w:rsidRPr="007E0354">
        <w:rPr>
          <w:rFonts w:ascii="仿宋" w:eastAsia="仿宋" w:hAnsi="仿宋" w:hint="eastAsia"/>
          <w:sz w:val="30"/>
          <w:szCs w:val="30"/>
        </w:rPr>
        <w:t>多数情况下在上市后安全性评价中无需对药品获益进行分析，但在药品风险较为严重且可能影响其获益风险平衡时（如考虑药品撤市、仅用于二线治疗或某些特定人群），还</w:t>
      </w:r>
      <w:r w:rsidR="00B6688A">
        <w:rPr>
          <w:rFonts w:ascii="仿宋" w:eastAsia="仿宋" w:hAnsi="仿宋" w:hint="eastAsia"/>
          <w:sz w:val="30"/>
          <w:szCs w:val="30"/>
        </w:rPr>
        <w:t>应当</w:t>
      </w:r>
      <w:r w:rsidRPr="007E0354">
        <w:rPr>
          <w:rFonts w:ascii="仿宋" w:eastAsia="仿宋" w:hAnsi="仿宋" w:hint="eastAsia"/>
          <w:sz w:val="30"/>
          <w:szCs w:val="30"/>
        </w:rPr>
        <w:t>对药品的获益进行分析。</w:t>
      </w:r>
    </w:p>
    <w:p w14:paraId="75D48082" w14:textId="274711D2" w:rsidR="00666425" w:rsidRDefault="00666425" w:rsidP="00666425">
      <w:pPr>
        <w:spacing w:line="540" w:lineRule="exact"/>
        <w:ind w:firstLineChars="202" w:firstLine="606"/>
        <w:rPr>
          <w:rFonts w:ascii="仿宋" w:eastAsia="仿宋" w:hAnsi="仿宋"/>
          <w:sz w:val="30"/>
          <w:szCs w:val="30"/>
        </w:rPr>
      </w:pPr>
      <w:r w:rsidRPr="00BE60C2">
        <w:rPr>
          <w:rFonts w:ascii="仿宋" w:eastAsia="仿宋" w:hAnsi="仿宋" w:hint="eastAsia"/>
          <w:sz w:val="30"/>
          <w:szCs w:val="30"/>
        </w:rPr>
        <w:t>与药品上市前</w:t>
      </w:r>
      <w:r>
        <w:rPr>
          <w:rFonts w:ascii="仿宋" w:eastAsia="仿宋" w:hAnsi="仿宋" w:hint="eastAsia"/>
          <w:sz w:val="30"/>
          <w:szCs w:val="30"/>
        </w:rPr>
        <w:t>评价不同</w:t>
      </w:r>
      <w:r w:rsidRPr="00BE60C2">
        <w:rPr>
          <w:rFonts w:ascii="仿宋" w:eastAsia="仿宋" w:hAnsi="仿宋" w:hint="eastAsia"/>
          <w:sz w:val="30"/>
          <w:szCs w:val="30"/>
        </w:rPr>
        <w:t>，上市后安全性评价中的获益分析</w:t>
      </w:r>
      <w:r>
        <w:rPr>
          <w:rFonts w:ascii="仿宋" w:eastAsia="仿宋" w:hAnsi="仿宋" w:hint="eastAsia"/>
          <w:sz w:val="30"/>
          <w:szCs w:val="30"/>
        </w:rPr>
        <w:t>更侧重</w:t>
      </w:r>
      <w:r w:rsidRPr="00BE60C2">
        <w:rPr>
          <w:rFonts w:ascii="仿宋" w:eastAsia="仿宋" w:hAnsi="仿宋" w:hint="eastAsia"/>
          <w:sz w:val="30"/>
          <w:szCs w:val="30"/>
        </w:rPr>
        <w:t>比较药品的治疗优势和劣势，分析药品的治疗地位，从而在安全性问题较为严重的情况下，为药品能否能够继续上市或保留其适应症</w:t>
      </w:r>
      <w:r w:rsidR="00583B91">
        <w:rPr>
          <w:rFonts w:ascii="仿宋" w:eastAsia="仿宋" w:hAnsi="仿宋" w:hint="eastAsia"/>
          <w:sz w:val="30"/>
          <w:szCs w:val="30"/>
        </w:rPr>
        <w:t>、适用人群</w:t>
      </w:r>
      <w:r w:rsidRPr="00BE60C2">
        <w:rPr>
          <w:rFonts w:ascii="仿宋" w:eastAsia="仿宋" w:hAnsi="仿宋" w:hint="eastAsia"/>
          <w:sz w:val="30"/>
          <w:szCs w:val="30"/>
        </w:rPr>
        <w:t>寻求支持</w:t>
      </w:r>
      <w:r>
        <w:rPr>
          <w:rFonts w:ascii="仿宋" w:eastAsia="仿宋" w:hAnsi="仿宋" w:hint="eastAsia"/>
          <w:sz w:val="30"/>
          <w:szCs w:val="30"/>
        </w:rPr>
        <w:t>。</w:t>
      </w:r>
      <w:r w:rsidRPr="00285114">
        <w:rPr>
          <w:rFonts w:ascii="仿宋" w:eastAsia="仿宋" w:hAnsi="仿宋" w:hint="eastAsia"/>
          <w:sz w:val="30"/>
          <w:szCs w:val="30"/>
        </w:rPr>
        <w:t>在安全性评价中，</w:t>
      </w:r>
      <w:r>
        <w:rPr>
          <w:rFonts w:ascii="仿宋" w:eastAsia="仿宋" w:hAnsi="仿宋" w:hint="eastAsia"/>
          <w:sz w:val="30"/>
          <w:szCs w:val="30"/>
        </w:rPr>
        <w:t>对获益的分析经常要考虑的内容包括疾病的特征、药品的治疗优势或</w:t>
      </w:r>
      <w:r w:rsidRPr="00285114">
        <w:rPr>
          <w:rFonts w:ascii="仿宋" w:eastAsia="仿宋" w:hAnsi="仿宋" w:hint="eastAsia"/>
          <w:sz w:val="30"/>
          <w:szCs w:val="30"/>
        </w:rPr>
        <w:t>药品</w:t>
      </w:r>
      <w:r>
        <w:rPr>
          <w:rFonts w:ascii="仿宋" w:eastAsia="仿宋" w:hAnsi="仿宋" w:hint="eastAsia"/>
          <w:sz w:val="30"/>
          <w:szCs w:val="30"/>
        </w:rPr>
        <w:t>的</w:t>
      </w:r>
      <w:r w:rsidRPr="00285114">
        <w:rPr>
          <w:rFonts w:ascii="仿宋" w:eastAsia="仿宋" w:hAnsi="仿宋" w:hint="eastAsia"/>
          <w:sz w:val="30"/>
          <w:szCs w:val="30"/>
        </w:rPr>
        <w:t>可替代性</w:t>
      </w:r>
      <w:r>
        <w:rPr>
          <w:rFonts w:ascii="仿宋" w:eastAsia="仿宋" w:hAnsi="仿宋" w:hint="eastAsia"/>
          <w:sz w:val="30"/>
          <w:szCs w:val="30"/>
        </w:rPr>
        <w:t>。</w:t>
      </w:r>
    </w:p>
    <w:p w14:paraId="7452E746" w14:textId="7499B20C" w:rsidR="00666425" w:rsidRPr="004444AE" w:rsidRDefault="00666425" w:rsidP="00666425">
      <w:pPr>
        <w:spacing w:line="540" w:lineRule="exact"/>
        <w:ind w:firstLineChars="202" w:firstLine="606"/>
        <w:rPr>
          <w:rFonts w:ascii="仿宋" w:eastAsia="仿宋" w:hAnsi="仿宋"/>
          <w:sz w:val="30"/>
          <w:szCs w:val="30"/>
        </w:rPr>
      </w:pPr>
      <w:r w:rsidRPr="004444AE">
        <w:rPr>
          <w:rFonts w:ascii="仿宋" w:eastAsia="仿宋" w:hAnsi="仿宋" w:hint="eastAsia"/>
          <w:sz w:val="30"/>
          <w:szCs w:val="30"/>
        </w:rPr>
        <w:t>疾病</w:t>
      </w:r>
      <w:r>
        <w:rPr>
          <w:rFonts w:ascii="仿宋" w:eastAsia="仿宋" w:hAnsi="仿宋" w:hint="eastAsia"/>
          <w:sz w:val="30"/>
          <w:szCs w:val="30"/>
        </w:rPr>
        <w:t>（一般为药品适应症）</w:t>
      </w:r>
      <w:r w:rsidRPr="004444AE">
        <w:rPr>
          <w:rFonts w:ascii="仿宋" w:eastAsia="仿宋" w:hAnsi="仿宋" w:hint="eastAsia"/>
          <w:sz w:val="30"/>
          <w:szCs w:val="30"/>
        </w:rPr>
        <w:t>特征包括疾病的流行病学特征（发生率、患病率等）、自然病史（自限性疾病、慢性和进展性疾病、间歇性加重疾病等）、疾病预后、高危人群等。对疾病特征的分</w:t>
      </w:r>
      <w:r w:rsidRPr="004444AE">
        <w:rPr>
          <w:rFonts w:ascii="仿宋" w:eastAsia="仿宋" w:hAnsi="仿宋" w:hint="eastAsia"/>
          <w:sz w:val="30"/>
          <w:szCs w:val="30"/>
        </w:rPr>
        <w:lastRenderedPageBreak/>
        <w:t>析有益于正</w:t>
      </w:r>
      <w:r w:rsidR="00583B91">
        <w:rPr>
          <w:rFonts w:ascii="仿宋" w:eastAsia="仿宋" w:hAnsi="仿宋" w:hint="eastAsia"/>
          <w:sz w:val="30"/>
          <w:szCs w:val="30"/>
        </w:rPr>
        <w:t>确看待药品的获益风险平衡，例如</w:t>
      </w:r>
      <w:proofErr w:type="gramStart"/>
      <w:r w:rsidR="00583B91">
        <w:rPr>
          <w:rFonts w:ascii="仿宋" w:eastAsia="仿宋" w:hAnsi="仿宋" w:hint="eastAsia"/>
          <w:sz w:val="30"/>
          <w:szCs w:val="30"/>
        </w:rPr>
        <w:t>当用于治疗自</w:t>
      </w:r>
      <w:proofErr w:type="gramEnd"/>
      <w:r w:rsidR="00583B91">
        <w:rPr>
          <w:rFonts w:ascii="仿宋" w:eastAsia="仿宋" w:hAnsi="仿宋" w:hint="eastAsia"/>
          <w:sz w:val="30"/>
          <w:szCs w:val="30"/>
        </w:rPr>
        <w:t>限性疾病的药品出现致命</w:t>
      </w:r>
      <w:r w:rsidRPr="004444AE">
        <w:rPr>
          <w:rFonts w:ascii="仿宋" w:eastAsia="仿宋" w:hAnsi="仿宋" w:hint="eastAsia"/>
          <w:sz w:val="30"/>
          <w:szCs w:val="30"/>
        </w:rPr>
        <w:t>风险</w:t>
      </w:r>
      <w:r w:rsidR="00583B91">
        <w:rPr>
          <w:rFonts w:ascii="仿宋" w:eastAsia="仿宋" w:hAnsi="仿宋" w:hint="eastAsia"/>
          <w:sz w:val="30"/>
          <w:szCs w:val="30"/>
        </w:rPr>
        <w:t>时</w:t>
      </w:r>
      <w:r w:rsidRPr="004444AE">
        <w:rPr>
          <w:rFonts w:ascii="仿宋" w:eastAsia="仿宋" w:hAnsi="仿宋" w:hint="eastAsia"/>
          <w:sz w:val="30"/>
          <w:szCs w:val="30"/>
        </w:rPr>
        <w:t>，该风险通常会被认为是不可被接受的。</w:t>
      </w:r>
    </w:p>
    <w:p w14:paraId="2B7F5680" w14:textId="210F48DA" w:rsidR="00666425" w:rsidRPr="004444AE" w:rsidRDefault="00666425" w:rsidP="00666425">
      <w:pPr>
        <w:spacing w:line="540" w:lineRule="exact"/>
        <w:ind w:firstLineChars="202" w:firstLine="606"/>
        <w:rPr>
          <w:rFonts w:ascii="仿宋" w:eastAsia="仿宋" w:hAnsi="仿宋"/>
          <w:sz w:val="30"/>
          <w:szCs w:val="30"/>
        </w:rPr>
      </w:pPr>
      <w:r w:rsidRPr="004444AE">
        <w:rPr>
          <w:rFonts w:ascii="仿宋" w:eastAsia="仿宋" w:hAnsi="仿宋" w:hint="eastAsia"/>
          <w:sz w:val="30"/>
          <w:szCs w:val="30"/>
        </w:rPr>
        <w:t>治疗优势是指药品在疗效、剂型、给药方式、治疗人群、安全性、耐受性、依从性等方面优于其他同类或相同治疗领域药品的突出特征。在证明药品有治疗优势时，一般</w:t>
      </w:r>
      <w:r w:rsidR="00EF30A0">
        <w:rPr>
          <w:rFonts w:ascii="仿宋" w:eastAsia="仿宋" w:hAnsi="仿宋" w:hint="eastAsia"/>
          <w:sz w:val="30"/>
          <w:szCs w:val="30"/>
        </w:rPr>
        <w:t>应</w:t>
      </w:r>
      <w:r w:rsidRPr="004444AE">
        <w:rPr>
          <w:rFonts w:ascii="仿宋" w:eastAsia="仿宋" w:hAnsi="仿宋" w:hint="eastAsia"/>
          <w:sz w:val="30"/>
          <w:szCs w:val="30"/>
        </w:rPr>
        <w:t>将该药品与同类别或同领域药品进行</w:t>
      </w:r>
      <w:r w:rsidR="00E82291">
        <w:rPr>
          <w:rFonts w:ascii="仿宋" w:eastAsia="仿宋" w:hAnsi="仿宋" w:hint="eastAsia"/>
          <w:sz w:val="30"/>
          <w:szCs w:val="30"/>
        </w:rPr>
        <w:t>全面</w:t>
      </w:r>
      <w:r w:rsidRPr="004444AE">
        <w:rPr>
          <w:rFonts w:ascii="仿宋" w:eastAsia="仿宋" w:hAnsi="仿宋" w:hint="eastAsia"/>
          <w:sz w:val="30"/>
          <w:szCs w:val="30"/>
        </w:rPr>
        <w:t>比较，而不是仅与个别药品进行比较。因此首先应当对同类或相同治疗领域的药品进行概述</w:t>
      </w:r>
      <w:r w:rsidR="00470472">
        <w:rPr>
          <w:rFonts w:ascii="仿宋" w:eastAsia="仿宋" w:hAnsi="仿宋" w:hint="eastAsia"/>
          <w:sz w:val="30"/>
          <w:szCs w:val="30"/>
        </w:rPr>
        <w:t>，提供比较的背景，阐明所评价药品与其他药品相比的优越性及特殊性</w:t>
      </w:r>
      <w:r w:rsidRPr="004444AE">
        <w:rPr>
          <w:rFonts w:ascii="仿宋" w:eastAsia="仿宋" w:hAnsi="仿宋" w:hint="eastAsia"/>
          <w:sz w:val="30"/>
          <w:szCs w:val="30"/>
        </w:rPr>
        <w:t>。</w:t>
      </w:r>
    </w:p>
    <w:p w14:paraId="4F263FE5" w14:textId="00CC1587" w:rsidR="00666425" w:rsidRDefault="00666425" w:rsidP="00666425">
      <w:pPr>
        <w:spacing w:line="540" w:lineRule="exact"/>
        <w:ind w:firstLineChars="202" w:firstLine="606"/>
        <w:rPr>
          <w:rFonts w:ascii="仿宋" w:eastAsia="仿宋" w:hAnsi="仿宋"/>
          <w:sz w:val="30"/>
          <w:szCs w:val="30"/>
        </w:rPr>
      </w:pPr>
      <w:r w:rsidRPr="004444AE">
        <w:rPr>
          <w:rFonts w:ascii="仿宋" w:eastAsia="仿宋" w:hAnsi="仿宋" w:hint="eastAsia"/>
          <w:sz w:val="30"/>
          <w:szCs w:val="30"/>
        </w:rPr>
        <w:t>在药品风险可能大于获益并考虑撤市或</w:t>
      </w:r>
      <w:r w:rsidR="008C5D8E">
        <w:rPr>
          <w:rFonts w:ascii="仿宋" w:eastAsia="仿宋" w:hAnsi="仿宋" w:hint="eastAsia"/>
          <w:sz w:val="30"/>
          <w:szCs w:val="30"/>
        </w:rPr>
        <w:t>广泛</w:t>
      </w:r>
      <w:r w:rsidRPr="004444AE">
        <w:rPr>
          <w:rFonts w:ascii="仿宋" w:eastAsia="仿宋" w:hAnsi="仿宋" w:hint="eastAsia"/>
          <w:sz w:val="30"/>
          <w:szCs w:val="30"/>
        </w:rPr>
        <w:t>限用时，应当开展药品的可替代性分析。可替代分析是分析药品撤市或限用后，相同治疗领域有哪些其他治疗选择</w:t>
      </w:r>
      <w:r w:rsidR="00FE79E8">
        <w:rPr>
          <w:rFonts w:ascii="仿宋" w:eastAsia="仿宋" w:hAnsi="仿宋" w:hint="eastAsia"/>
          <w:sz w:val="30"/>
          <w:szCs w:val="30"/>
        </w:rPr>
        <w:t>（</w:t>
      </w:r>
      <w:r w:rsidRPr="004444AE">
        <w:rPr>
          <w:rFonts w:ascii="仿宋" w:eastAsia="仿宋" w:hAnsi="仿宋" w:hint="eastAsia"/>
          <w:sz w:val="30"/>
          <w:szCs w:val="30"/>
        </w:rPr>
        <w:t>包括化</w:t>
      </w:r>
      <w:r w:rsidR="00FE79E8">
        <w:rPr>
          <w:rFonts w:ascii="仿宋" w:eastAsia="仿宋" w:hAnsi="仿宋" w:hint="eastAsia"/>
          <w:sz w:val="30"/>
          <w:szCs w:val="30"/>
        </w:rPr>
        <w:t>学</w:t>
      </w:r>
      <w:r w:rsidRPr="004444AE">
        <w:rPr>
          <w:rFonts w:ascii="仿宋" w:eastAsia="仿宋" w:hAnsi="仿宋" w:hint="eastAsia"/>
          <w:sz w:val="30"/>
          <w:szCs w:val="30"/>
        </w:rPr>
        <w:t>药、中药、生物制品及其他非药品治疗方式</w:t>
      </w:r>
      <w:r w:rsidR="00FE79E8">
        <w:rPr>
          <w:rFonts w:ascii="仿宋" w:eastAsia="仿宋" w:hAnsi="仿宋" w:hint="eastAsia"/>
          <w:sz w:val="30"/>
          <w:szCs w:val="30"/>
        </w:rPr>
        <w:t>）</w:t>
      </w:r>
      <w:r w:rsidRPr="004444AE">
        <w:rPr>
          <w:rFonts w:ascii="仿宋" w:eastAsia="仿宋" w:hAnsi="仿宋" w:hint="eastAsia"/>
          <w:sz w:val="30"/>
          <w:szCs w:val="30"/>
        </w:rPr>
        <w:t>，以及是否影响该治疗领域药品的可及性。涉及儿科用药的，还应就相同年龄段儿科用药的可及性进行探讨。</w:t>
      </w:r>
    </w:p>
    <w:p w14:paraId="096E1467" w14:textId="3CA2519F" w:rsidR="00666425" w:rsidRDefault="00470472" w:rsidP="00666425">
      <w:pPr>
        <w:spacing w:line="540" w:lineRule="exact"/>
        <w:ind w:firstLineChars="202" w:firstLine="606"/>
        <w:rPr>
          <w:rFonts w:ascii="仿宋" w:eastAsia="仿宋" w:hAnsi="仿宋"/>
          <w:sz w:val="30"/>
          <w:szCs w:val="30"/>
        </w:rPr>
      </w:pPr>
      <w:r>
        <w:rPr>
          <w:rFonts w:ascii="仿宋" w:eastAsia="仿宋" w:hAnsi="仿宋" w:hint="eastAsia"/>
          <w:sz w:val="30"/>
          <w:szCs w:val="30"/>
        </w:rPr>
        <w:t>对药品的获益分析也应当提供适当的证据</w:t>
      </w:r>
      <w:r w:rsidR="00666425" w:rsidRPr="004D7D39">
        <w:rPr>
          <w:rFonts w:ascii="仿宋" w:eastAsia="仿宋" w:hAnsi="仿宋" w:hint="eastAsia"/>
          <w:sz w:val="30"/>
          <w:szCs w:val="30"/>
        </w:rPr>
        <w:t>，必要时纳入相关临床专家的意见。例如在证明</w:t>
      </w:r>
      <w:r w:rsidR="00EF30A0">
        <w:rPr>
          <w:rFonts w:ascii="仿宋" w:eastAsia="仿宋" w:hAnsi="仿宋" w:hint="eastAsia"/>
          <w:sz w:val="30"/>
          <w:szCs w:val="30"/>
        </w:rPr>
        <w:t>药品</w:t>
      </w:r>
      <w:r w:rsidR="00666425" w:rsidRPr="004D7D39">
        <w:rPr>
          <w:rFonts w:ascii="仿宋" w:eastAsia="仿宋" w:hAnsi="仿宋" w:hint="eastAsia"/>
          <w:sz w:val="30"/>
          <w:szCs w:val="30"/>
        </w:rPr>
        <w:t>疗效</w:t>
      </w:r>
      <w:r w:rsidR="00666425">
        <w:rPr>
          <w:rFonts w:ascii="仿宋" w:eastAsia="仿宋" w:hAnsi="仿宋" w:hint="eastAsia"/>
          <w:sz w:val="30"/>
          <w:szCs w:val="30"/>
        </w:rPr>
        <w:t>或对生活质量的改变</w:t>
      </w:r>
      <w:r w:rsidR="00666425" w:rsidRPr="004D7D39">
        <w:rPr>
          <w:rFonts w:ascii="仿宋" w:eastAsia="仿宋" w:hAnsi="仿宋" w:hint="eastAsia"/>
          <w:sz w:val="30"/>
          <w:szCs w:val="30"/>
        </w:rPr>
        <w:t>时，应当提供可靠的</w:t>
      </w:r>
      <w:r w:rsidR="00666425">
        <w:rPr>
          <w:rFonts w:ascii="仿宋" w:eastAsia="仿宋" w:hAnsi="仿宋" w:hint="eastAsia"/>
          <w:sz w:val="30"/>
          <w:szCs w:val="30"/>
        </w:rPr>
        <w:t>临床试验结果、</w:t>
      </w:r>
      <w:r w:rsidR="00666425" w:rsidRPr="004D7D39">
        <w:rPr>
          <w:rFonts w:ascii="仿宋" w:eastAsia="仿宋" w:hAnsi="仿宋" w:hint="eastAsia"/>
          <w:sz w:val="30"/>
          <w:szCs w:val="30"/>
        </w:rPr>
        <w:t>权威</w:t>
      </w:r>
      <w:r w:rsidR="00666425">
        <w:rPr>
          <w:rFonts w:ascii="仿宋" w:eastAsia="仿宋" w:hAnsi="仿宋" w:hint="eastAsia"/>
          <w:sz w:val="30"/>
          <w:szCs w:val="30"/>
        </w:rPr>
        <w:t>的</w:t>
      </w:r>
      <w:r w:rsidR="00666425" w:rsidRPr="004D7D39">
        <w:rPr>
          <w:rFonts w:ascii="仿宋" w:eastAsia="仿宋" w:hAnsi="仿宋" w:hint="eastAsia"/>
          <w:sz w:val="30"/>
          <w:szCs w:val="30"/>
        </w:rPr>
        <w:t>临床诊疗指南</w:t>
      </w:r>
      <w:r>
        <w:rPr>
          <w:rFonts w:ascii="仿宋" w:eastAsia="仿宋" w:hAnsi="仿宋" w:hint="eastAsia"/>
          <w:sz w:val="30"/>
          <w:szCs w:val="30"/>
        </w:rPr>
        <w:t>等</w:t>
      </w:r>
      <w:r w:rsidR="00666425" w:rsidRPr="004D7D39">
        <w:rPr>
          <w:rFonts w:ascii="仿宋" w:eastAsia="仿宋" w:hAnsi="仿宋" w:hint="eastAsia"/>
          <w:sz w:val="30"/>
          <w:szCs w:val="30"/>
        </w:rPr>
        <w:t>。</w:t>
      </w:r>
    </w:p>
    <w:p w14:paraId="2C281859" w14:textId="7A854121" w:rsidR="00057684" w:rsidRPr="001C7A2F" w:rsidRDefault="001C7A2F" w:rsidP="009F2651">
      <w:pPr>
        <w:pStyle w:val="a7"/>
        <w:numPr>
          <w:ilvl w:val="1"/>
          <w:numId w:val="20"/>
        </w:numPr>
        <w:tabs>
          <w:tab w:val="left" w:pos="709"/>
        </w:tabs>
        <w:spacing w:line="540" w:lineRule="exact"/>
        <w:ind w:firstLineChars="0" w:hanging="5"/>
        <w:outlineLvl w:val="1"/>
        <w:rPr>
          <w:rFonts w:ascii="楷体" w:eastAsia="楷体" w:hAnsi="楷体"/>
          <w:sz w:val="30"/>
          <w:szCs w:val="30"/>
        </w:rPr>
      </w:pPr>
      <w:bookmarkStart w:id="15" w:name="_Toc177114416"/>
      <w:r>
        <w:rPr>
          <w:rFonts w:ascii="楷体" w:eastAsia="楷体" w:hAnsi="楷体" w:hint="eastAsia"/>
          <w:sz w:val="30"/>
          <w:szCs w:val="30"/>
        </w:rPr>
        <w:t>评价</w:t>
      </w:r>
      <w:r w:rsidR="00302BE6" w:rsidRPr="001C7A2F">
        <w:rPr>
          <w:rFonts w:ascii="楷体" w:eastAsia="楷体" w:hAnsi="楷体" w:hint="eastAsia"/>
          <w:sz w:val="30"/>
          <w:szCs w:val="30"/>
        </w:rPr>
        <w:t>结</w:t>
      </w:r>
      <w:r w:rsidR="00621CCA" w:rsidRPr="001C7A2F">
        <w:rPr>
          <w:rFonts w:ascii="楷体" w:eastAsia="楷体" w:hAnsi="楷体" w:hint="eastAsia"/>
          <w:sz w:val="30"/>
          <w:szCs w:val="30"/>
        </w:rPr>
        <w:t>论</w:t>
      </w:r>
      <w:r w:rsidRPr="001C7A2F">
        <w:rPr>
          <w:rFonts w:ascii="楷体" w:eastAsia="楷体" w:hAnsi="楷体" w:hint="eastAsia"/>
          <w:sz w:val="30"/>
          <w:szCs w:val="30"/>
        </w:rPr>
        <w:t>和</w:t>
      </w:r>
      <w:r w:rsidR="00621CCA" w:rsidRPr="001C7A2F">
        <w:rPr>
          <w:rFonts w:ascii="楷体" w:eastAsia="楷体" w:hAnsi="楷体" w:hint="eastAsia"/>
          <w:sz w:val="30"/>
          <w:szCs w:val="30"/>
        </w:rPr>
        <w:t>建议</w:t>
      </w:r>
      <w:bookmarkEnd w:id="15"/>
    </w:p>
    <w:p w14:paraId="027F81F5" w14:textId="5633198B" w:rsidR="00057684" w:rsidRPr="00E472F9" w:rsidRDefault="00057684" w:rsidP="00057684">
      <w:pPr>
        <w:spacing w:line="540" w:lineRule="exact"/>
        <w:ind w:firstLineChars="202" w:firstLine="606"/>
        <w:rPr>
          <w:rFonts w:ascii="仿宋_GB2312" w:eastAsia="仿宋_GB2312" w:hAnsi="仿宋"/>
          <w:sz w:val="28"/>
          <w:szCs w:val="28"/>
        </w:rPr>
      </w:pPr>
      <w:r>
        <w:rPr>
          <w:rFonts w:ascii="仿宋" w:eastAsia="仿宋" w:hAnsi="仿宋" w:hint="eastAsia"/>
          <w:sz w:val="30"/>
          <w:szCs w:val="30"/>
        </w:rPr>
        <w:t>无论安全性证据是否充足，安全性评价都必须有</w:t>
      </w:r>
      <w:r w:rsidR="00C3131F">
        <w:rPr>
          <w:rFonts w:ascii="仿宋" w:eastAsia="仿宋" w:hAnsi="仿宋" w:hint="eastAsia"/>
          <w:sz w:val="30"/>
          <w:szCs w:val="30"/>
        </w:rPr>
        <w:t>评价</w:t>
      </w:r>
      <w:r w:rsidR="001640AF">
        <w:rPr>
          <w:rFonts w:ascii="仿宋" w:eastAsia="仿宋" w:hAnsi="仿宋" w:hint="eastAsia"/>
          <w:sz w:val="30"/>
          <w:szCs w:val="30"/>
        </w:rPr>
        <w:t>结果和</w:t>
      </w:r>
      <w:r w:rsidR="00621CCA">
        <w:rPr>
          <w:rFonts w:ascii="仿宋" w:eastAsia="仿宋" w:hAnsi="仿宋" w:hint="eastAsia"/>
          <w:sz w:val="30"/>
          <w:szCs w:val="30"/>
        </w:rPr>
        <w:t>结论</w:t>
      </w:r>
      <w:r w:rsidR="00C3131F">
        <w:rPr>
          <w:rFonts w:ascii="仿宋" w:eastAsia="仿宋" w:hAnsi="仿宋" w:hint="eastAsia"/>
          <w:sz w:val="30"/>
          <w:szCs w:val="30"/>
        </w:rPr>
        <w:t>。</w:t>
      </w:r>
      <w:r>
        <w:rPr>
          <w:rFonts w:ascii="仿宋" w:eastAsia="仿宋" w:hAnsi="仿宋" w:hint="eastAsia"/>
          <w:sz w:val="30"/>
          <w:szCs w:val="30"/>
        </w:rPr>
        <w:t>评价结果是对</w:t>
      </w:r>
      <w:r w:rsidR="00302BE6">
        <w:rPr>
          <w:rFonts w:ascii="仿宋" w:eastAsia="仿宋" w:hAnsi="仿宋" w:hint="eastAsia"/>
          <w:sz w:val="30"/>
          <w:szCs w:val="30"/>
        </w:rPr>
        <w:t>安全性问题及其</w:t>
      </w:r>
      <w:r>
        <w:rPr>
          <w:rFonts w:ascii="仿宋" w:eastAsia="仿宋" w:hAnsi="仿宋" w:hint="eastAsia"/>
          <w:sz w:val="30"/>
          <w:szCs w:val="30"/>
        </w:rPr>
        <w:t>关键证据</w:t>
      </w:r>
      <w:r w:rsidR="00302BE6">
        <w:rPr>
          <w:rFonts w:ascii="仿宋" w:eastAsia="仿宋" w:hAnsi="仿宋" w:hint="eastAsia"/>
          <w:sz w:val="30"/>
          <w:szCs w:val="30"/>
        </w:rPr>
        <w:t>和</w:t>
      </w:r>
      <w:r>
        <w:rPr>
          <w:rFonts w:ascii="仿宋" w:eastAsia="仿宋" w:hAnsi="仿宋" w:hint="eastAsia"/>
          <w:sz w:val="30"/>
          <w:szCs w:val="30"/>
        </w:rPr>
        <w:t>分析结果的</w:t>
      </w:r>
      <w:r w:rsidR="00302BE6">
        <w:rPr>
          <w:rFonts w:ascii="仿宋" w:eastAsia="仿宋" w:hAnsi="仿宋" w:hint="eastAsia"/>
          <w:sz w:val="30"/>
          <w:szCs w:val="30"/>
        </w:rPr>
        <w:t>总结</w:t>
      </w:r>
      <w:r w:rsidR="00DC5218">
        <w:rPr>
          <w:rFonts w:ascii="仿宋" w:eastAsia="仿宋" w:hAnsi="仿宋" w:hint="eastAsia"/>
          <w:sz w:val="30"/>
          <w:szCs w:val="30"/>
        </w:rPr>
        <w:t>，</w:t>
      </w:r>
      <w:proofErr w:type="gramStart"/>
      <w:r w:rsidR="00DC5218">
        <w:rPr>
          <w:rFonts w:ascii="仿宋" w:eastAsia="仿宋" w:hAnsi="仿宋" w:hint="eastAsia"/>
          <w:sz w:val="30"/>
          <w:szCs w:val="30"/>
        </w:rPr>
        <w:t>例如某非预期</w:t>
      </w:r>
      <w:proofErr w:type="gramEnd"/>
      <w:r w:rsidR="00DC5218">
        <w:rPr>
          <w:rFonts w:ascii="仿宋" w:eastAsia="仿宋" w:hAnsi="仿宋" w:hint="eastAsia"/>
          <w:sz w:val="30"/>
          <w:szCs w:val="30"/>
        </w:rPr>
        <w:t>不良事件</w:t>
      </w:r>
      <w:r>
        <w:rPr>
          <w:rFonts w:ascii="仿宋" w:eastAsia="仿宋" w:hAnsi="仿宋" w:hint="eastAsia"/>
          <w:sz w:val="30"/>
          <w:szCs w:val="30"/>
        </w:rPr>
        <w:t>的</w:t>
      </w:r>
      <w:r w:rsidR="00CB4764">
        <w:rPr>
          <w:rFonts w:ascii="仿宋" w:eastAsia="仿宋" w:hAnsi="仿宋" w:hint="eastAsia"/>
          <w:sz w:val="30"/>
          <w:szCs w:val="30"/>
        </w:rPr>
        <w:t>发生特征、</w:t>
      </w:r>
      <w:r w:rsidR="001640AF">
        <w:rPr>
          <w:rFonts w:ascii="仿宋" w:eastAsia="仿宋" w:hAnsi="仿宋" w:hint="eastAsia"/>
          <w:sz w:val="30"/>
          <w:szCs w:val="30"/>
        </w:rPr>
        <w:t>频率、影响因素</w:t>
      </w:r>
      <w:r w:rsidR="007E7B0C">
        <w:rPr>
          <w:rFonts w:ascii="仿宋" w:eastAsia="仿宋" w:hAnsi="仿宋" w:hint="eastAsia"/>
          <w:sz w:val="30"/>
          <w:szCs w:val="30"/>
        </w:rPr>
        <w:t>，或某安全性研究定性或定量的分析结果等。</w:t>
      </w:r>
      <w:r w:rsidR="005E010E">
        <w:rPr>
          <w:rFonts w:ascii="仿宋" w:eastAsia="仿宋" w:hAnsi="仿宋" w:hint="eastAsia"/>
          <w:sz w:val="30"/>
          <w:szCs w:val="30"/>
        </w:rPr>
        <w:t>评价</w:t>
      </w:r>
      <w:r w:rsidRPr="00663022">
        <w:rPr>
          <w:rFonts w:ascii="仿宋" w:eastAsia="仿宋" w:hAnsi="仿宋" w:hint="eastAsia"/>
          <w:sz w:val="30"/>
          <w:szCs w:val="30"/>
        </w:rPr>
        <w:t>结</w:t>
      </w:r>
      <w:r>
        <w:rPr>
          <w:rFonts w:ascii="仿宋" w:eastAsia="仿宋" w:hAnsi="仿宋" w:hint="eastAsia"/>
          <w:sz w:val="30"/>
          <w:szCs w:val="30"/>
        </w:rPr>
        <w:t>论则要聚焦到关注的安全性问题及评价目标上，以高度总结的形式对所有结果及</w:t>
      </w:r>
      <w:r w:rsidR="004F14D4">
        <w:rPr>
          <w:rFonts w:ascii="仿宋" w:eastAsia="仿宋" w:hAnsi="仿宋" w:hint="eastAsia"/>
          <w:sz w:val="30"/>
          <w:szCs w:val="30"/>
        </w:rPr>
        <w:t>证据指向进行概括，得出对药品安全性问题的当前的认知，并给出</w:t>
      </w:r>
      <w:r>
        <w:rPr>
          <w:rFonts w:ascii="仿宋" w:eastAsia="仿宋" w:hAnsi="仿宋" w:hint="eastAsia"/>
          <w:sz w:val="30"/>
          <w:szCs w:val="30"/>
        </w:rPr>
        <w:t>获益</w:t>
      </w:r>
      <w:r>
        <w:rPr>
          <w:rFonts w:ascii="仿宋" w:eastAsia="仿宋" w:hAnsi="仿宋" w:hint="eastAsia"/>
          <w:sz w:val="30"/>
          <w:szCs w:val="30"/>
        </w:rPr>
        <w:lastRenderedPageBreak/>
        <w:t>风险</w:t>
      </w:r>
      <w:r w:rsidR="00FF5F73">
        <w:rPr>
          <w:rFonts w:ascii="仿宋" w:eastAsia="仿宋" w:hAnsi="仿宋" w:hint="eastAsia"/>
          <w:sz w:val="30"/>
          <w:szCs w:val="30"/>
        </w:rPr>
        <w:t>平衡的综合</w:t>
      </w:r>
      <w:r>
        <w:rPr>
          <w:rFonts w:ascii="仿宋" w:eastAsia="仿宋" w:hAnsi="仿宋" w:hint="eastAsia"/>
          <w:sz w:val="30"/>
          <w:szCs w:val="30"/>
        </w:rPr>
        <w:t>结论。</w:t>
      </w:r>
    </w:p>
    <w:p w14:paraId="70A93532" w14:textId="48221C73" w:rsidR="00057684" w:rsidRDefault="00057684" w:rsidP="00057684">
      <w:pPr>
        <w:spacing w:line="540" w:lineRule="exact"/>
        <w:ind w:firstLineChars="202" w:firstLine="606"/>
        <w:rPr>
          <w:rFonts w:ascii="仿宋" w:eastAsia="仿宋" w:hAnsi="仿宋"/>
          <w:sz w:val="30"/>
          <w:szCs w:val="30"/>
        </w:rPr>
      </w:pPr>
      <w:r w:rsidRPr="00D95027">
        <w:rPr>
          <w:rFonts w:ascii="仿宋" w:eastAsia="仿宋" w:hAnsi="仿宋" w:hint="eastAsia"/>
          <w:sz w:val="30"/>
          <w:szCs w:val="30"/>
        </w:rPr>
        <w:t>评价</w:t>
      </w:r>
      <w:r w:rsidR="001770B7">
        <w:rPr>
          <w:rFonts w:ascii="仿宋" w:eastAsia="仿宋" w:hAnsi="仿宋" w:hint="eastAsia"/>
          <w:sz w:val="30"/>
          <w:szCs w:val="30"/>
        </w:rPr>
        <w:t>的最终目标是为</w:t>
      </w:r>
      <w:r w:rsidRPr="00D95027">
        <w:rPr>
          <w:rFonts w:ascii="仿宋" w:eastAsia="仿宋" w:hAnsi="仿宋" w:hint="eastAsia"/>
          <w:sz w:val="30"/>
          <w:szCs w:val="30"/>
        </w:rPr>
        <w:t>风险管理</w:t>
      </w:r>
      <w:r w:rsidR="001770B7">
        <w:rPr>
          <w:rFonts w:ascii="仿宋" w:eastAsia="仿宋" w:hAnsi="仿宋" w:hint="eastAsia"/>
          <w:sz w:val="30"/>
          <w:szCs w:val="30"/>
        </w:rPr>
        <w:t>提供技术支持</w:t>
      </w:r>
      <w:r w:rsidRPr="00D95027">
        <w:rPr>
          <w:rFonts w:ascii="仿宋" w:eastAsia="仿宋" w:hAnsi="仿宋" w:hint="eastAsia"/>
          <w:sz w:val="30"/>
          <w:szCs w:val="30"/>
        </w:rPr>
        <w:t>。</w:t>
      </w:r>
      <w:r>
        <w:rPr>
          <w:rFonts w:ascii="仿宋" w:eastAsia="仿宋" w:hAnsi="仿宋" w:hint="eastAsia"/>
          <w:sz w:val="30"/>
          <w:szCs w:val="30"/>
        </w:rPr>
        <w:t>除非评价结果显示</w:t>
      </w:r>
      <w:r w:rsidR="001770B7">
        <w:rPr>
          <w:rFonts w:ascii="仿宋" w:eastAsia="仿宋" w:hAnsi="仿宋" w:hint="eastAsia"/>
          <w:sz w:val="30"/>
          <w:szCs w:val="30"/>
        </w:rPr>
        <w:t>药品</w:t>
      </w:r>
      <w:r>
        <w:rPr>
          <w:rFonts w:ascii="仿宋" w:eastAsia="仿宋" w:hAnsi="仿宋" w:hint="eastAsia"/>
          <w:sz w:val="30"/>
          <w:szCs w:val="30"/>
        </w:rPr>
        <w:t>不存在风险隐患，否则均应当</w:t>
      </w:r>
      <w:r w:rsidRPr="004731F2">
        <w:rPr>
          <w:rFonts w:ascii="仿宋" w:eastAsia="仿宋" w:hAnsi="仿宋" w:hint="eastAsia"/>
          <w:sz w:val="30"/>
          <w:szCs w:val="30"/>
        </w:rPr>
        <w:t>提出风险管理建议</w:t>
      </w:r>
      <w:r w:rsidR="00C10A5B">
        <w:rPr>
          <w:rFonts w:ascii="仿宋" w:eastAsia="仿宋" w:hAnsi="仿宋" w:hint="eastAsia"/>
          <w:sz w:val="30"/>
          <w:szCs w:val="30"/>
        </w:rPr>
        <w:t>，并适当说明采取相关措施的依据或理由。通常的风险管理建议包括</w:t>
      </w:r>
      <w:r w:rsidR="00FE79E8">
        <w:rPr>
          <w:rFonts w:ascii="仿宋" w:eastAsia="仿宋" w:hAnsi="仿宋" w:hint="eastAsia"/>
          <w:sz w:val="30"/>
          <w:szCs w:val="30"/>
        </w:rPr>
        <w:t>强化监测、</w:t>
      </w:r>
      <w:r w:rsidR="00DC5218">
        <w:rPr>
          <w:rFonts w:ascii="仿宋" w:eastAsia="仿宋" w:hAnsi="仿宋" w:hint="eastAsia"/>
          <w:sz w:val="30"/>
          <w:szCs w:val="30"/>
        </w:rPr>
        <w:t>开展上市后</w:t>
      </w:r>
      <w:r w:rsidR="00C10A5B">
        <w:rPr>
          <w:rFonts w:ascii="仿宋" w:eastAsia="仿宋" w:hAnsi="仿宋" w:hint="eastAsia"/>
          <w:sz w:val="30"/>
          <w:szCs w:val="30"/>
        </w:rPr>
        <w:t>研究</w:t>
      </w:r>
      <w:r w:rsidR="007B0B7E">
        <w:rPr>
          <w:rFonts w:ascii="仿宋" w:eastAsia="仿宋" w:hAnsi="仿宋" w:hint="eastAsia"/>
          <w:sz w:val="30"/>
          <w:szCs w:val="30"/>
        </w:rPr>
        <w:t>（包括主动监测）</w:t>
      </w:r>
      <w:r w:rsidR="00DC5218">
        <w:rPr>
          <w:rFonts w:ascii="仿宋" w:eastAsia="仿宋" w:hAnsi="仿宋" w:hint="eastAsia"/>
          <w:sz w:val="30"/>
          <w:szCs w:val="30"/>
        </w:rPr>
        <w:t>、修订药品说明书、</w:t>
      </w:r>
      <w:r w:rsidR="00C10A5B">
        <w:rPr>
          <w:rFonts w:ascii="仿宋" w:eastAsia="仿宋" w:hAnsi="仿宋" w:hint="eastAsia"/>
          <w:sz w:val="30"/>
          <w:szCs w:val="30"/>
        </w:rPr>
        <w:t>采取特殊</w:t>
      </w:r>
      <w:r w:rsidR="00DC5218">
        <w:rPr>
          <w:rFonts w:ascii="仿宋" w:eastAsia="仿宋" w:hAnsi="仿宋" w:hint="eastAsia"/>
          <w:sz w:val="30"/>
          <w:szCs w:val="30"/>
        </w:rPr>
        <w:t>风险</w:t>
      </w:r>
      <w:r w:rsidR="007B0B7E">
        <w:rPr>
          <w:rFonts w:ascii="仿宋" w:eastAsia="仿宋" w:hAnsi="仿宋" w:hint="eastAsia"/>
          <w:sz w:val="30"/>
          <w:szCs w:val="30"/>
        </w:rPr>
        <w:t>控制</w:t>
      </w:r>
      <w:r w:rsidR="00DC5218">
        <w:rPr>
          <w:rFonts w:ascii="仿宋" w:eastAsia="仿宋" w:hAnsi="仿宋" w:hint="eastAsia"/>
          <w:sz w:val="30"/>
          <w:szCs w:val="30"/>
        </w:rPr>
        <w:t>措施、</w:t>
      </w:r>
      <w:r w:rsidR="00C10A5B">
        <w:rPr>
          <w:rFonts w:ascii="仿宋" w:eastAsia="仿宋" w:hAnsi="仿宋" w:hint="eastAsia"/>
          <w:sz w:val="30"/>
          <w:szCs w:val="30"/>
        </w:rPr>
        <w:t>注销药品批准证明文件等。</w:t>
      </w:r>
    </w:p>
    <w:p w14:paraId="38541FD7" w14:textId="3DD8BF72" w:rsidR="00983428" w:rsidRPr="00E50142" w:rsidRDefault="00204573" w:rsidP="00610C76">
      <w:pPr>
        <w:pStyle w:val="a7"/>
        <w:numPr>
          <w:ilvl w:val="0"/>
          <w:numId w:val="18"/>
        </w:numPr>
        <w:spacing w:line="540" w:lineRule="exact"/>
        <w:ind w:firstLineChars="0" w:firstLine="207"/>
        <w:outlineLvl w:val="0"/>
        <w:rPr>
          <w:rFonts w:ascii="黑体" w:eastAsia="黑体" w:hAnsi="黑体"/>
          <w:sz w:val="30"/>
          <w:szCs w:val="30"/>
        </w:rPr>
      </w:pPr>
      <w:bookmarkStart w:id="16" w:name="_Toc177114417"/>
      <w:r>
        <w:rPr>
          <w:rFonts w:ascii="黑体" w:eastAsia="黑体" w:hAnsi="黑体" w:hint="eastAsia"/>
          <w:sz w:val="30"/>
          <w:szCs w:val="30"/>
        </w:rPr>
        <w:t>评价报告</w:t>
      </w:r>
      <w:bookmarkEnd w:id="16"/>
    </w:p>
    <w:p w14:paraId="4F80B8F3" w14:textId="262247D4" w:rsidR="00B4145F" w:rsidRDefault="00450FB7" w:rsidP="003D19D8">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药品安全性评价报告</w:t>
      </w:r>
      <w:r w:rsidR="00F5481F">
        <w:rPr>
          <w:rFonts w:ascii="仿宋_GB2312" w:eastAsia="仿宋_GB2312" w:hAnsi="仿宋" w:hint="eastAsia"/>
          <w:sz w:val="28"/>
          <w:szCs w:val="28"/>
        </w:rPr>
        <w:t>是对安全性问题</w:t>
      </w:r>
      <w:r w:rsidR="001A45BC">
        <w:rPr>
          <w:rFonts w:ascii="仿宋_GB2312" w:eastAsia="仿宋_GB2312" w:hAnsi="仿宋" w:hint="eastAsia"/>
          <w:sz w:val="28"/>
          <w:szCs w:val="28"/>
        </w:rPr>
        <w:t>的</w:t>
      </w:r>
      <w:r w:rsidR="00F5481F">
        <w:rPr>
          <w:rFonts w:ascii="仿宋_GB2312" w:eastAsia="仿宋_GB2312" w:hAnsi="仿宋" w:hint="eastAsia"/>
          <w:sz w:val="28"/>
          <w:szCs w:val="28"/>
        </w:rPr>
        <w:t>分析过程及结果的具体呈现，</w:t>
      </w:r>
      <w:r w:rsidR="00B4145F">
        <w:rPr>
          <w:rFonts w:ascii="仿宋_GB2312" w:eastAsia="仿宋_GB2312" w:hAnsi="仿宋" w:hint="eastAsia"/>
          <w:sz w:val="28"/>
          <w:szCs w:val="28"/>
        </w:rPr>
        <w:t>主要包括评价的原因及目标、</w:t>
      </w:r>
      <w:r w:rsidR="00D32A03">
        <w:rPr>
          <w:rFonts w:ascii="仿宋_GB2312" w:eastAsia="仿宋_GB2312" w:hAnsi="仿宋" w:hint="eastAsia"/>
          <w:sz w:val="28"/>
          <w:szCs w:val="28"/>
        </w:rPr>
        <w:t>药品及风险的</w:t>
      </w:r>
      <w:r w:rsidR="00B4145F">
        <w:rPr>
          <w:rFonts w:ascii="仿宋_GB2312" w:eastAsia="仿宋_GB2312" w:hAnsi="仿宋" w:hint="eastAsia"/>
          <w:sz w:val="28"/>
          <w:szCs w:val="28"/>
        </w:rPr>
        <w:t>背景信息、证据资料分析、</w:t>
      </w:r>
      <w:r w:rsidR="00B4145F" w:rsidRPr="00D32A03">
        <w:rPr>
          <w:rFonts w:ascii="仿宋_GB2312" w:eastAsia="仿宋_GB2312" w:hAnsi="仿宋" w:hint="eastAsia"/>
          <w:sz w:val="28"/>
          <w:szCs w:val="28"/>
        </w:rPr>
        <w:t>结果</w:t>
      </w:r>
      <w:r w:rsidR="00BB0EDC" w:rsidRPr="00D32A03">
        <w:rPr>
          <w:rFonts w:ascii="仿宋_GB2312" w:eastAsia="仿宋_GB2312" w:hAnsi="仿宋" w:hint="eastAsia"/>
          <w:sz w:val="28"/>
          <w:szCs w:val="28"/>
        </w:rPr>
        <w:t>及</w:t>
      </w:r>
      <w:r w:rsidR="00B4145F" w:rsidRPr="00D32A03">
        <w:rPr>
          <w:rFonts w:ascii="仿宋_GB2312" w:eastAsia="仿宋_GB2312" w:hAnsi="仿宋" w:hint="eastAsia"/>
          <w:sz w:val="28"/>
          <w:szCs w:val="28"/>
        </w:rPr>
        <w:t>讨论</w:t>
      </w:r>
      <w:r w:rsidR="00B4145F">
        <w:rPr>
          <w:rFonts w:ascii="仿宋_GB2312" w:eastAsia="仿宋_GB2312" w:hAnsi="仿宋" w:hint="eastAsia"/>
          <w:sz w:val="28"/>
          <w:szCs w:val="28"/>
        </w:rPr>
        <w:t>、结论和建议等组成。</w:t>
      </w:r>
    </w:p>
    <w:p w14:paraId="1A2EDF92" w14:textId="0EE152DF" w:rsidR="00E50142" w:rsidRDefault="00E50142" w:rsidP="00E50142">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评价报告</w:t>
      </w:r>
      <w:r w:rsidR="00FE79E8">
        <w:rPr>
          <w:rFonts w:ascii="仿宋_GB2312" w:eastAsia="仿宋_GB2312" w:hAnsi="仿宋" w:hint="eastAsia"/>
          <w:sz w:val="28"/>
          <w:szCs w:val="28"/>
        </w:rPr>
        <w:t>是</w:t>
      </w:r>
      <w:r w:rsidR="00BB0EDC">
        <w:rPr>
          <w:rFonts w:ascii="仿宋_GB2312" w:eastAsia="仿宋_GB2312" w:hAnsi="仿宋" w:hint="eastAsia"/>
          <w:sz w:val="28"/>
          <w:szCs w:val="28"/>
        </w:rPr>
        <w:t>技术性资料</w:t>
      </w:r>
      <w:r>
        <w:rPr>
          <w:rFonts w:ascii="仿宋_GB2312" w:eastAsia="仿宋_GB2312" w:hAnsi="仿宋" w:hint="eastAsia"/>
          <w:sz w:val="28"/>
          <w:szCs w:val="28"/>
        </w:rPr>
        <w:t>，应做到层次清晰、逻辑严密、语言精炼。</w:t>
      </w:r>
      <w:r w:rsidR="008313F8" w:rsidRPr="008313F8">
        <w:rPr>
          <w:rFonts w:ascii="仿宋_GB2312" w:eastAsia="仿宋_GB2312" w:hAnsi="仿宋" w:hint="eastAsia"/>
          <w:sz w:val="28"/>
          <w:szCs w:val="28"/>
        </w:rPr>
        <w:t>评价人员应当紧密围绕</w:t>
      </w:r>
      <w:r w:rsidR="00FB6B91">
        <w:rPr>
          <w:rFonts w:ascii="仿宋_GB2312" w:eastAsia="仿宋_GB2312" w:hAnsi="仿宋" w:hint="eastAsia"/>
          <w:sz w:val="28"/>
          <w:szCs w:val="28"/>
        </w:rPr>
        <w:t>安全性</w:t>
      </w:r>
      <w:r w:rsidR="008313F8" w:rsidRPr="008313F8">
        <w:rPr>
          <w:rFonts w:ascii="仿宋_GB2312" w:eastAsia="仿宋_GB2312" w:hAnsi="仿宋" w:hint="eastAsia"/>
          <w:sz w:val="28"/>
          <w:szCs w:val="28"/>
        </w:rPr>
        <w:t>问题</w:t>
      </w:r>
      <w:r w:rsidR="00FB6B91">
        <w:rPr>
          <w:rFonts w:ascii="仿宋_GB2312" w:eastAsia="仿宋_GB2312" w:hAnsi="仿宋" w:hint="eastAsia"/>
          <w:sz w:val="28"/>
          <w:szCs w:val="28"/>
        </w:rPr>
        <w:t>和评价目标</w:t>
      </w:r>
      <w:r w:rsidR="008313F8" w:rsidRPr="008313F8">
        <w:rPr>
          <w:rFonts w:ascii="仿宋_GB2312" w:eastAsia="仿宋_GB2312" w:hAnsi="仿宋" w:hint="eastAsia"/>
          <w:sz w:val="28"/>
          <w:szCs w:val="28"/>
        </w:rPr>
        <w:t>来选择和利用证据资料，</w:t>
      </w:r>
      <w:r w:rsidR="00FE79E8">
        <w:rPr>
          <w:rFonts w:ascii="仿宋_GB2312" w:eastAsia="仿宋_GB2312" w:hAnsi="仿宋" w:hint="eastAsia"/>
          <w:sz w:val="28"/>
          <w:szCs w:val="28"/>
        </w:rPr>
        <w:t>防止过多罗列与分析结果无关的内容。</w:t>
      </w:r>
      <w:r w:rsidR="00FB6B91">
        <w:rPr>
          <w:rFonts w:ascii="仿宋_GB2312" w:eastAsia="仿宋_GB2312" w:hAnsi="仿宋" w:hint="eastAsia"/>
          <w:sz w:val="28"/>
          <w:szCs w:val="28"/>
        </w:rPr>
        <w:t>评价结果应与证据</w:t>
      </w:r>
      <w:r w:rsidR="002F1221">
        <w:rPr>
          <w:rFonts w:ascii="仿宋_GB2312" w:eastAsia="仿宋_GB2312" w:hAnsi="仿宋" w:hint="eastAsia"/>
          <w:sz w:val="28"/>
          <w:szCs w:val="28"/>
        </w:rPr>
        <w:t>资料</w:t>
      </w:r>
      <w:r w:rsidR="00FB6B91">
        <w:rPr>
          <w:rFonts w:ascii="仿宋_GB2312" w:eastAsia="仿宋_GB2312" w:hAnsi="仿宋" w:hint="eastAsia"/>
          <w:sz w:val="28"/>
          <w:szCs w:val="28"/>
        </w:rPr>
        <w:t>相</w:t>
      </w:r>
      <w:r w:rsidR="00BB0EDC" w:rsidRPr="001A45BC">
        <w:rPr>
          <w:rFonts w:ascii="仿宋_GB2312" w:eastAsia="仿宋_GB2312" w:hAnsi="仿宋" w:hint="eastAsia"/>
          <w:sz w:val="28"/>
          <w:szCs w:val="28"/>
        </w:rPr>
        <w:t>呼应，</w:t>
      </w:r>
      <w:r w:rsidR="006D6E0D">
        <w:rPr>
          <w:rFonts w:ascii="仿宋_GB2312" w:eastAsia="仿宋_GB2312" w:hAnsi="仿宋" w:hint="eastAsia"/>
          <w:sz w:val="28"/>
          <w:szCs w:val="28"/>
        </w:rPr>
        <w:t>评价结论应与评价目标相对应，</w:t>
      </w:r>
      <w:r w:rsidR="00BB0EDC" w:rsidRPr="001A45BC">
        <w:rPr>
          <w:rFonts w:ascii="仿宋_GB2312" w:eastAsia="仿宋_GB2312" w:hAnsi="仿宋" w:hint="eastAsia"/>
          <w:sz w:val="28"/>
          <w:szCs w:val="28"/>
        </w:rPr>
        <w:t>避免上下脱节。</w:t>
      </w:r>
      <w:r w:rsidR="002F1221">
        <w:rPr>
          <w:rFonts w:ascii="仿宋_GB2312" w:eastAsia="仿宋_GB2312" w:hAnsi="仿宋" w:hint="eastAsia"/>
          <w:sz w:val="28"/>
          <w:szCs w:val="28"/>
        </w:rPr>
        <w:t>报告撰写</w:t>
      </w:r>
      <w:r>
        <w:rPr>
          <w:rFonts w:ascii="仿宋_GB2312" w:eastAsia="仿宋_GB2312" w:hAnsi="仿宋" w:hint="eastAsia"/>
          <w:sz w:val="28"/>
          <w:szCs w:val="28"/>
        </w:rPr>
        <w:t>人员应当反复斟酌报告内容</w:t>
      </w:r>
      <w:r w:rsidR="00C70947">
        <w:rPr>
          <w:rFonts w:ascii="仿宋_GB2312" w:eastAsia="仿宋_GB2312" w:hAnsi="仿宋" w:hint="eastAsia"/>
          <w:sz w:val="28"/>
          <w:szCs w:val="28"/>
        </w:rPr>
        <w:t>和语言</w:t>
      </w:r>
      <w:r w:rsidR="004B2E71">
        <w:rPr>
          <w:rFonts w:ascii="仿宋_GB2312" w:eastAsia="仿宋_GB2312" w:hAnsi="仿宋" w:hint="eastAsia"/>
          <w:sz w:val="28"/>
          <w:szCs w:val="28"/>
        </w:rPr>
        <w:t>表述</w:t>
      </w:r>
      <w:r>
        <w:rPr>
          <w:rFonts w:ascii="仿宋_GB2312" w:eastAsia="仿宋_GB2312" w:hAnsi="仿宋" w:hint="eastAsia"/>
          <w:sz w:val="28"/>
          <w:szCs w:val="28"/>
        </w:rPr>
        <w:t>，力争为报告审阅人员提供一目了然却又经得起推敲的高水平报告。</w:t>
      </w:r>
    </w:p>
    <w:p w14:paraId="1C68611F" w14:textId="57B597F7" w:rsidR="00DF10A1" w:rsidRDefault="00F2723D" w:rsidP="003D19D8">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评价报告没有固定的</w:t>
      </w:r>
      <w:r w:rsidR="002365A9">
        <w:rPr>
          <w:rFonts w:ascii="仿宋_GB2312" w:eastAsia="仿宋_GB2312" w:hAnsi="仿宋" w:hint="eastAsia"/>
          <w:sz w:val="28"/>
          <w:szCs w:val="28"/>
        </w:rPr>
        <w:t>格</w:t>
      </w:r>
      <w:r>
        <w:rPr>
          <w:rFonts w:ascii="仿宋_GB2312" w:eastAsia="仿宋_GB2312" w:hAnsi="仿宋" w:hint="eastAsia"/>
          <w:sz w:val="28"/>
          <w:szCs w:val="28"/>
        </w:rPr>
        <w:t>式，持有人可以</w:t>
      </w:r>
      <w:r w:rsidR="00D32A03">
        <w:rPr>
          <w:rFonts w:ascii="仿宋_GB2312" w:eastAsia="仿宋_GB2312" w:hAnsi="仿宋" w:hint="eastAsia"/>
          <w:sz w:val="28"/>
          <w:szCs w:val="28"/>
        </w:rPr>
        <w:t>根据自身偏好</w:t>
      </w:r>
      <w:r>
        <w:rPr>
          <w:rFonts w:ascii="仿宋_GB2312" w:eastAsia="仿宋_GB2312" w:hAnsi="仿宋" w:hint="eastAsia"/>
          <w:sz w:val="28"/>
          <w:szCs w:val="28"/>
        </w:rPr>
        <w:t>制定报告模板并不断改进。出于监管部门审阅的要求，</w:t>
      </w:r>
      <w:r w:rsidR="00E50142">
        <w:rPr>
          <w:rFonts w:ascii="仿宋_GB2312" w:eastAsia="仿宋_GB2312" w:hAnsi="仿宋" w:hint="eastAsia"/>
          <w:sz w:val="28"/>
          <w:szCs w:val="28"/>
        </w:rPr>
        <w:t>本指导原则</w:t>
      </w:r>
      <w:r w:rsidR="00E63237">
        <w:rPr>
          <w:rFonts w:ascii="仿宋_GB2312" w:eastAsia="仿宋_GB2312" w:hAnsi="仿宋" w:hint="eastAsia"/>
          <w:sz w:val="28"/>
          <w:szCs w:val="28"/>
        </w:rPr>
        <w:t>给出了</w:t>
      </w:r>
      <w:r w:rsidR="00FE79E8">
        <w:rPr>
          <w:rFonts w:ascii="仿宋_GB2312" w:eastAsia="仿宋_GB2312" w:hAnsi="仿宋" w:hint="eastAsia"/>
          <w:sz w:val="28"/>
          <w:szCs w:val="28"/>
        </w:rPr>
        <w:t>评价报告的</w:t>
      </w:r>
      <w:r>
        <w:rPr>
          <w:rFonts w:ascii="仿宋_GB2312" w:eastAsia="仿宋_GB2312" w:hAnsi="仿宋" w:hint="eastAsia"/>
          <w:sz w:val="28"/>
          <w:szCs w:val="28"/>
        </w:rPr>
        <w:t>参考框架</w:t>
      </w:r>
      <w:r w:rsidR="009F2870">
        <w:rPr>
          <w:rFonts w:ascii="仿宋_GB2312" w:eastAsia="仿宋_GB2312" w:hAnsi="仿宋" w:hint="eastAsia"/>
          <w:sz w:val="28"/>
          <w:szCs w:val="28"/>
        </w:rPr>
        <w:t>（</w:t>
      </w:r>
      <w:r w:rsidR="00FE79E8">
        <w:rPr>
          <w:rFonts w:ascii="仿宋_GB2312" w:eastAsia="仿宋_GB2312" w:hAnsi="仿宋" w:hint="eastAsia"/>
          <w:sz w:val="28"/>
          <w:szCs w:val="28"/>
        </w:rPr>
        <w:t>见</w:t>
      </w:r>
      <w:r w:rsidR="005507AE">
        <w:rPr>
          <w:rFonts w:ascii="仿宋_GB2312" w:eastAsia="仿宋_GB2312" w:hAnsi="仿宋" w:hint="eastAsia"/>
          <w:sz w:val="28"/>
          <w:szCs w:val="28"/>
        </w:rPr>
        <w:t>附件</w:t>
      </w:r>
      <w:r w:rsidR="009F2870">
        <w:rPr>
          <w:rFonts w:ascii="仿宋_GB2312" w:eastAsia="仿宋_GB2312" w:hAnsi="仿宋" w:hint="eastAsia"/>
          <w:sz w:val="28"/>
          <w:szCs w:val="28"/>
        </w:rPr>
        <w:t>）</w:t>
      </w:r>
      <w:r>
        <w:rPr>
          <w:rFonts w:ascii="仿宋_GB2312" w:eastAsia="仿宋_GB2312" w:hAnsi="仿宋" w:hint="eastAsia"/>
          <w:sz w:val="28"/>
          <w:szCs w:val="28"/>
        </w:rPr>
        <w:t>，在向监管部门提交评价报告时建议遵照或调整后使用。</w:t>
      </w:r>
    </w:p>
    <w:p w14:paraId="48E26567" w14:textId="0C0B7D35" w:rsidR="00983428" w:rsidRPr="00FE4DC8" w:rsidRDefault="005E1849" w:rsidP="00610C76">
      <w:pPr>
        <w:pStyle w:val="a7"/>
        <w:numPr>
          <w:ilvl w:val="0"/>
          <w:numId w:val="18"/>
        </w:numPr>
        <w:spacing w:line="540" w:lineRule="exact"/>
        <w:ind w:firstLineChars="0" w:firstLine="207"/>
        <w:outlineLvl w:val="0"/>
        <w:rPr>
          <w:rFonts w:ascii="黑体" w:eastAsia="黑体" w:hAnsi="黑体"/>
          <w:sz w:val="30"/>
          <w:szCs w:val="30"/>
        </w:rPr>
      </w:pPr>
      <w:bookmarkStart w:id="17" w:name="_Toc177114418"/>
      <w:r>
        <w:rPr>
          <w:rFonts w:ascii="黑体" w:eastAsia="黑体" w:hAnsi="黑体" w:hint="eastAsia"/>
          <w:sz w:val="30"/>
          <w:szCs w:val="30"/>
        </w:rPr>
        <w:t>质量</w:t>
      </w:r>
      <w:r w:rsidR="00983428" w:rsidRPr="00FE4DC8">
        <w:rPr>
          <w:rFonts w:ascii="黑体" w:eastAsia="黑体" w:hAnsi="黑体" w:hint="eastAsia"/>
          <w:sz w:val="30"/>
          <w:szCs w:val="30"/>
        </w:rPr>
        <w:t>保障</w:t>
      </w:r>
      <w:bookmarkEnd w:id="17"/>
    </w:p>
    <w:p w14:paraId="546ACF2D" w14:textId="2115D1C0" w:rsidR="005B34F7" w:rsidRDefault="00F417B4" w:rsidP="0028150C">
      <w:pPr>
        <w:spacing w:line="540" w:lineRule="exact"/>
        <w:ind w:firstLineChars="200" w:firstLine="600"/>
        <w:rPr>
          <w:rFonts w:ascii="仿宋" w:eastAsia="仿宋" w:hAnsi="仿宋"/>
          <w:sz w:val="30"/>
          <w:szCs w:val="30"/>
        </w:rPr>
      </w:pPr>
      <w:r>
        <w:rPr>
          <w:rFonts w:ascii="仿宋" w:eastAsia="仿宋" w:hAnsi="仿宋" w:hint="eastAsia"/>
          <w:sz w:val="30"/>
          <w:szCs w:val="30"/>
        </w:rPr>
        <w:t>持有人应当</w:t>
      </w:r>
      <w:r w:rsidRPr="0022259E">
        <w:rPr>
          <w:rFonts w:ascii="仿宋" w:eastAsia="仿宋" w:hAnsi="仿宋" w:hint="eastAsia"/>
          <w:sz w:val="30"/>
          <w:szCs w:val="30"/>
        </w:rPr>
        <w:t>不断完善</w:t>
      </w:r>
      <w:r>
        <w:rPr>
          <w:rFonts w:ascii="仿宋" w:eastAsia="仿宋" w:hAnsi="仿宋" w:hint="eastAsia"/>
          <w:sz w:val="30"/>
          <w:szCs w:val="30"/>
        </w:rPr>
        <w:t>药品安全性评价</w:t>
      </w:r>
      <w:r w:rsidR="009C0627">
        <w:rPr>
          <w:rFonts w:ascii="仿宋" w:eastAsia="仿宋" w:hAnsi="仿宋" w:hint="eastAsia"/>
          <w:sz w:val="30"/>
          <w:szCs w:val="30"/>
        </w:rPr>
        <w:t>相关</w:t>
      </w:r>
      <w:r w:rsidRPr="0022259E">
        <w:rPr>
          <w:rFonts w:ascii="仿宋" w:eastAsia="仿宋" w:hAnsi="仿宋" w:hint="eastAsia"/>
          <w:sz w:val="30"/>
          <w:szCs w:val="30"/>
        </w:rPr>
        <w:t>制度</w:t>
      </w:r>
      <w:r w:rsidR="009C0627">
        <w:rPr>
          <w:rFonts w:ascii="仿宋" w:eastAsia="仿宋" w:hAnsi="仿宋" w:hint="eastAsia"/>
          <w:sz w:val="30"/>
          <w:szCs w:val="30"/>
        </w:rPr>
        <w:t>与</w:t>
      </w:r>
      <w:r w:rsidRPr="0022259E">
        <w:rPr>
          <w:rFonts w:ascii="仿宋" w:eastAsia="仿宋" w:hAnsi="仿宋" w:hint="eastAsia"/>
          <w:sz w:val="30"/>
          <w:szCs w:val="30"/>
        </w:rPr>
        <w:t>规程，</w:t>
      </w:r>
      <w:r>
        <w:rPr>
          <w:rFonts w:ascii="仿宋" w:eastAsia="仿宋" w:hAnsi="仿宋" w:hint="eastAsia"/>
          <w:sz w:val="30"/>
          <w:szCs w:val="30"/>
        </w:rPr>
        <w:t>建立安全性评价</w:t>
      </w:r>
      <w:r w:rsidR="00F13F87">
        <w:rPr>
          <w:rFonts w:ascii="仿宋" w:eastAsia="仿宋" w:hAnsi="仿宋" w:hint="eastAsia"/>
          <w:sz w:val="30"/>
          <w:szCs w:val="30"/>
        </w:rPr>
        <w:t>的技术</w:t>
      </w:r>
      <w:r>
        <w:rPr>
          <w:rFonts w:ascii="仿宋" w:eastAsia="仿宋" w:hAnsi="仿宋" w:hint="eastAsia"/>
          <w:sz w:val="30"/>
          <w:szCs w:val="30"/>
        </w:rPr>
        <w:t>标准</w:t>
      </w:r>
      <w:r w:rsidR="00F13F87">
        <w:rPr>
          <w:rFonts w:ascii="仿宋" w:eastAsia="仿宋" w:hAnsi="仿宋" w:hint="eastAsia"/>
          <w:sz w:val="30"/>
          <w:szCs w:val="30"/>
        </w:rPr>
        <w:t>。</w:t>
      </w:r>
      <w:r w:rsidR="009C0627">
        <w:rPr>
          <w:rFonts w:ascii="仿宋" w:eastAsia="仿宋" w:hAnsi="仿宋" w:hint="eastAsia"/>
          <w:sz w:val="30"/>
          <w:szCs w:val="30"/>
        </w:rPr>
        <w:t>同时</w:t>
      </w:r>
      <w:r>
        <w:rPr>
          <w:rFonts w:ascii="仿宋" w:eastAsia="仿宋" w:hAnsi="仿宋" w:hint="eastAsia"/>
          <w:sz w:val="30"/>
          <w:szCs w:val="30"/>
        </w:rPr>
        <w:t>为评价工作提供适当</w:t>
      </w:r>
      <w:r w:rsidR="009C0627">
        <w:rPr>
          <w:rFonts w:ascii="仿宋" w:eastAsia="仿宋" w:hAnsi="仿宋" w:hint="eastAsia"/>
          <w:sz w:val="30"/>
          <w:szCs w:val="30"/>
        </w:rPr>
        <w:t>资源和</w:t>
      </w:r>
      <w:r w:rsidR="00F13F87">
        <w:rPr>
          <w:rFonts w:ascii="仿宋" w:eastAsia="仿宋" w:hAnsi="仿宋" w:hint="eastAsia"/>
          <w:sz w:val="30"/>
          <w:szCs w:val="30"/>
        </w:rPr>
        <w:t>资金</w:t>
      </w:r>
      <w:r>
        <w:rPr>
          <w:rFonts w:ascii="仿宋" w:eastAsia="仿宋" w:hAnsi="仿宋" w:hint="eastAsia"/>
          <w:sz w:val="30"/>
          <w:szCs w:val="30"/>
        </w:rPr>
        <w:t>支持，</w:t>
      </w:r>
      <w:r w:rsidR="009C0627">
        <w:rPr>
          <w:rFonts w:ascii="仿宋" w:eastAsia="仿宋" w:hAnsi="仿宋" w:hint="eastAsia"/>
          <w:sz w:val="30"/>
          <w:szCs w:val="30"/>
        </w:rPr>
        <w:t>如国内外文献检索资源、</w:t>
      </w:r>
      <w:r>
        <w:rPr>
          <w:rFonts w:ascii="仿宋" w:eastAsia="仿宋" w:hAnsi="仿宋" w:hint="eastAsia"/>
          <w:sz w:val="30"/>
          <w:szCs w:val="30"/>
        </w:rPr>
        <w:t>上市后研究</w:t>
      </w:r>
      <w:r w:rsidR="00F13F87">
        <w:rPr>
          <w:rFonts w:ascii="仿宋" w:eastAsia="仿宋" w:hAnsi="仿宋" w:hint="eastAsia"/>
          <w:sz w:val="30"/>
          <w:szCs w:val="30"/>
        </w:rPr>
        <w:t>经费。</w:t>
      </w:r>
    </w:p>
    <w:p w14:paraId="2F5081F5" w14:textId="26F6DB6D" w:rsidR="00B57847" w:rsidRDefault="00B57847" w:rsidP="00B57847">
      <w:pPr>
        <w:spacing w:line="540" w:lineRule="exact"/>
        <w:ind w:firstLineChars="200" w:firstLine="600"/>
        <w:rPr>
          <w:rFonts w:ascii="仿宋" w:eastAsia="仿宋" w:hAnsi="仿宋"/>
          <w:sz w:val="30"/>
          <w:szCs w:val="30"/>
        </w:rPr>
      </w:pPr>
      <w:r>
        <w:rPr>
          <w:rFonts w:ascii="仿宋" w:eastAsia="仿宋" w:hAnsi="仿宋" w:hint="eastAsia"/>
          <w:sz w:val="30"/>
          <w:szCs w:val="30"/>
        </w:rPr>
        <w:t>持有人应当配备或调配</w:t>
      </w:r>
      <w:r w:rsidRPr="005B34F7">
        <w:rPr>
          <w:rFonts w:ascii="仿宋" w:eastAsia="仿宋" w:hAnsi="仿宋" w:hint="eastAsia"/>
          <w:sz w:val="30"/>
          <w:szCs w:val="30"/>
        </w:rPr>
        <w:t>具</w:t>
      </w:r>
      <w:r>
        <w:rPr>
          <w:rFonts w:ascii="仿宋" w:eastAsia="仿宋" w:hAnsi="仿宋" w:hint="eastAsia"/>
          <w:sz w:val="30"/>
          <w:szCs w:val="30"/>
        </w:rPr>
        <w:t>有医学、药学、</w:t>
      </w:r>
      <w:r w:rsidRPr="005B34F7">
        <w:rPr>
          <w:rFonts w:ascii="仿宋" w:eastAsia="仿宋" w:hAnsi="仿宋" w:hint="eastAsia"/>
          <w:sz w:val="30"/>
          <w:szCs w:val="30"/>
        </w:rPr>
        <w:t>流行病学</w:t>
      </w:r>
      <w:r>
        <w:rPr>
          <w:rFonts w:ascii="仿宋" w:eastAsia="仿宋" w:hAnsi="仿宋" w:hint="eastAsia"/>
          <w:sz w:val="30"/>
          <w:szCs w:val="30"/>
        </w:rPr>
        <w:t>等</w:t>
      </w:r>
      <w:r w:rsidRPr="005B34F7">
        <w:rPr>
          <w:rFonts w:ascii="仿宋" w:eastAsia="仿宋" w:hAnsi="仿宋" w:hint="eastAsia"/>
          <w:sz w:val="30"/>
          <w:szCs w:val="30"/>
        </w:rPr>
        <w:t>专业</w:t>
      </w:r>
      <w:r>
        <w:rPr>
          <w:rFonts w:ascii="仿宋" w:eastAsia="仿宋" w:hAnsi="仿宋" w:hint="eastAsia"/>
          <w:sz w:val="30"/>
          <w:szCs w:val="30"/>
        </w:rPr>
        <w:t>知</w:t>
      </w:r>
      <w:r>
        <w:rPr>
          <w:rFonts w:ascii="仿宋" w:eastAsia="仿宋" w:hAnsi="仿宋" w:hint="eastAsia"/>
          <w:sz w:val="30"/>
          <w:szCs w:val="30"/>
        </w:rPr>
        <w:lastRenderedPageBreak/>
        <w:t>识或</w:t>
      </w:r>
      <w:r w:rsidRPr="005B34F7">
        <w:rPr>
          <w:rFonts w:ascii="仿宋" w:eastAsia="仿宋" w:hAnsi="仿宋" w:hint="eastAsia"/>
          <w:sz w:val="30"/>
          <w:szCs w:val="30"/>
        </w:rPr>
        <w:t>背景</w:t>
      </w:r>
      <w:r>
        <w:rPr>
          <w:rFonts w:ascii="仿宋" w:eastAsia="仿宋" w:hAnsi="仿宋" w:hint="eastAsia"/>
          <w:sz w:val="30"/>
          <w:szCs w:val="30"/>
        </w:rPr>
        <w:t>的人员开展药品安全</w:t>
      </w:r>
      <w:r w:rsidR="00FE79E8">
        <w:rPr>
          <w:rFonts w:ascii="仿宋" w:eastAsia="仿宋" w:hAnsi="仿宋" w:hint="eastAsia"/>
          <w:sz w:val="30"/>
          <w:szCs w:val="30"/>
        </w:rPr>
        <w:t>性</w:t>
      </w:r>
      <w:r>
        <w:rPr>
          <w:rFonts w:ascii="仿宋" w:eastAsia="仿宋" w:hAnsi="仿宋" w:hint="eastAsia"/>
          <w:sz w:val="30"/>
          <w:szCs w:val="30"/>
        </w:rPr>
        <w:t>评价工作。评价人员在药物警戒工作中应注意收集案例、积累经验，主动探索评价方法，不断提升评价能力。</w:t>
      </w:r>
    </w:p>
    <w:p w14:paraId="209AD694" w14:textId="2DF1E25C" w:rsidR="00F417B4" w:rsidRDefault="009C0627" w:rsidP="009C0627">
      <w:pPr>
        <w:spacing w:line="540" w:lineRule="exact"/>
        <w:ind w:firstLineChars="200" w:firstLine="600"/>
        <w:rPr>
          <w:rFonts w:ascii="仿宋" w:eastAsia="仿宋" w:hAnsi="仿宋"/>
          <w:sz w:val="30"/>
          <w:szCs w:val="30"/>
        </w:rPr>
      </w:pPr>
      <w:r>
        <w:rPr>
          <w:rFonts w:ascii="仿宋" w:eastAsia="仿宋" w:hAnsi="仿宋" w:hint="eastAsia"/>
          <w:sz w:val="30"/>
          <w:szCs w:val="30"/>
        </w:rPr>
        <w:t>药物警戒负责人负责</w:t>
      </w:r>
      <w:r w:rsidR="0076678E">
        <w:rPr>
          <w:rFonts w:ascii="仿宋" w:eastAsia="仿宋" w:hAnsi="仿宋" w:hint="eastAsia"/>
          <w:sz w:val="30"/>
          <w:szCs w:val="30"/>
        </w:rPr>
        <w:t>指导和</w:t>
      </w:r>
      <w:r>
        <w:rPr>
          <w:rFonts w:ascii="仿宋" w:eastAsia="仿宋" w:hAnsi="仿宋" w:hint="eastAsia"/>
          <w:sz w:val="30"/>
          <w:szCs w:val="30"/>
        </w:rPr>
        <w:t>监督安全性评价工作的全过程，</w:t>
      </w:r>
      <w:r w:rsidR="00BE4B81">
        <w:rPr>
          <w:rFonts w:ascii="仿宋" w:eastAsia="仿宋" w:hAnsi="仿宋" w:hint="eastAsia"/>
          <w:sz w:val="30"/>
          <w:szCs w:val="30"/>
        </w:rPr>
        <w:t>必要时与监管部门就评价工作进行沟通。药品</w:t>
      </w:r>
      <w:r w:rsidR="00B55A17">
        <w:rPr>
          <w:rFonts w:ascii="仿宋" w:eastAsia="仿宋" w:hAnsi="仿宋" w:hint="eastAsia"/>
          <w:sz w:val="30"/>
          <w:szCs w:val="30"/>
        </w:rPr>
        <w:t>安全委员会</w:t>
      </w:r>
      <w:r w:rsidR="00BE4B81">
        <w:rPr>
          <w:rFonts w:ascii="仿宋" w:eastAsia="仿宋" w:hAnsi="仿宋" w:hint="eastAsia"/>
          <w:sz w:val="30"/>
          <w:szCs w:val="30"/>
        </w:rPr>
        <w:t>负责协调公司内部评价资源，审议评价结论及</w:t>
      </w:r>
      <w:r w:rsidR="008F02C7">
        <w:rPr>
          <w:rFonts w:ascii="仿宋" w:eastAsia="仿宋" w:hAnsi="仿宋" w:hint="eastAsia"/>
          <w:sz w:val="30"/>
          <w:szCs w:val="30"/>
        </w:rPr>
        <w:t>建议</w:t>
      </w:r>
      <w:r w:rsidR="00CA0276">
        <w:rPr>
          <w:rFonts w:ascii="仿宋" w:eastAsia="仿宋" w:hAnsi="仿宋" w:hint="eastAsia"/>
          <w:sz w:val="30"/>
          <w:szCs w:val="30"/>
        </w:rPr>
        <w:t>，</w:t>
      </w:r>
      <w:r w:rsidR="005031E6">
        <w:rPr>
          <w:rFonts w:ascii="仿宋" w:eastAsia="仿宋" w:hAnsi="仿宋" w:hint="eastAsia"/>
          <w:sz w:val="30"/>
          <w:szCs w:val="30"/>
        </w:rPr>
        <w:t>并</w:t>
      </w:r>
      <w:proofErr w:type="gramStart"/>
      <w:r w:rsidR="00BE4B81">
        <w:rPr>
          <w:rFonts w:ascii="仿宋" w:eastAsia="仿宋" w:hAnsi="仿宋" w:hint="eastAsia"/>
          <w:sz w:val="30"/>
          <w:szCs w:val="30"/>
        </w:rPr>
        <w:t>作出</w:t>
      </w:r>
      <w:proofErr w:type="gramEnd"/>
      <w:r w:rsidR="00BE4B81">
        <w:rPr>
          <w:rFonts w:ascii="仿宋" w:eastAsia="仿宋" w:hAnsi="仿宋" w:hint="eastAsia"/>
          <w:sz w:val="30"/>
          <w:szCs w:val="30"/>
        </w:rPr>
        <w:t>风险管理决策，如开展</w:t>
      </w:r>
      <w:r w:rsidR="00CA0276">
        <w:rPr>
          <w:rFonts w:ascii="仿宋" w:eastAsia="仿宋" w:hAnsi="仿宋" w:hint="eastAsia"/>
          <w:sz w:val="30"/>
          <w:szCs w:val="30"/>
        </w:rPr>
        <w:t>上市后安全性</w:t>
      </w:r>
      <w:r w:rsidR="00BE4B81">
        <w:rPr>
          <w:rFonts w:ascii="仿宋" w:eastAsia="仿宋" w:hAnsi="仿宋" w:hint="eastAsia"/>
          <w:sz w:val="30"/>
          <w:szCs w:val="30"/>
        </w:rPr>
        <w:t>研究</w:t>
      </w:r>
      <w:r w:rsidR="00BD5A0F">
        <w:rPr>
          <w:rFonts w:ascii="仿宋" w:eastAsia="仿宋" w:hAnsi="仿宋" w:hint="eastAsia"/>
          <w:sz w:val="30"/>
          <w:szCs w:val="30"/>
        </w:rPr>
        <w:t>、采取风险控制措施</w:t>
      </w:r>
      <w:r w:rsidR="00BE4B81">
        <w:rPr>
          <w:rFonts w:ascii="仿宋" w:eastAsia="仿宋" w:hAnsi="仿宋" w:hint="eastAsia"/>
          <w:sz w:val="30"/>
          <w:szCs w:val="30"/>
        </w:rPr>
        <w:t>等。</w:t>
      </w:r>
    </w:p>
    <w:p w14:paraId="3385C20F" w14:textId="49B2BC2D" w:rsidR="00610C76" w:rsidRDefault="00610C76" w:rsidP="009C0627">
      <w:pPr>
        <w:spacing w:line="540" w:lineRule="exact"/>
        <w:ind w:firstLineChars="200" w:firstLine="600"/>
        <w:rPr>
          <w:rFonts w:ascii="仿宋" w:eastAsia="仿宋" w:hAnsi="仿宋"/>
          <w:sz w:val="30"/>
          <w:szCs w:val="30"/>
        </w:rPr>
      </w:pPr>
    </w:p>
    <w:p w14:paraId="68E9F711" w14:textId="687FF58F" w:rsidR="00610C76" w:rsidRPr="00610C76" w:rsidRDefault="00610C76" w:rsidP="009C0627">
      <w:pPr>
        <w:spacing w:line="540" w:lineRule="exact"/>
        <w:ind w:firstLineChars="200" w:firstLine="600"/>
        <w:rPr>
          <w:rFonts w:ascii="仿宋" w:eastAsia="仿宋" w:hAnsi="仿宋"/>
          <w:sz w:val="30"/>
          <w:szCs w:val="30"/>
        </w:rPr>
      </w:pPr>
      <w:r>
        <w:rPr>
          <w:rFonts w:ascii="仿宋" w:eastAsia="仿宋" w:hAnsi="仿宋" w:hint="eastAsia"/>
          <w:sz w:val="30"/>
          <w:szCs w:val="30"/>
        </w:rPr>
        <w:t>附件：</w:t>
      </w:r>
      <w:r w:rsidRPr="00610C76">
        <w:rPr>
          <w:rFonts w:ascii="仿宋" w:eastAsia="仿宋" w:hAnsi="仿宋" w:hint="eastAsia"/>
          <w:sz w:val="30"/>
          <w:szCs w:val="30"/>
        </w:rPr>
        <w:t>药品</w:t>
      </w:r>
      <w:r w:rsidR="004C1576">
        <w:rPr>
          <w:rFonts w:ascii="仿宋" w:eastAsia="仿宋" w:hAnsi="仿宋" w:hint="eastAsia"/>
          <w:sz w:val="30"/>
          <w:szCs w:val="30"/>
        </w:rPr>
        <w:t>上市后</w:t>
      </w:r>
      <w:r w:rsidRPr="00610C76">
        <w:rPr>
          <w:rFonts w:ascii="仿宋" w:eastAsia="仿宋" w:hAnsi="仿宋" w:hint="eastAsia"/>
          <w:sz w:val="30"/>
          <w:szCs w:val="30"/>
        </w:rPr>
        <w:t>安全性评价报告参考框架及撰写要求</w:t>
      </w:r>
    </w:p>
    <w:p w14:paraId="33F5EA7F" w14:textId="77777777" w:rsidR="00C578B5" w:rsidRDefault="00C578B5">
      <w:pPr>
        <w:spacing w:line="540" w:lineRule="exact"/>
        <w:rPr>
          <w:rFonts w:ascii="仿宋" w:eastAsia="仿宋" w:hAnsi="仿宋"/>
          <w:sz w:val="30"/>
          <w:szCs w:val="30"/>
        </w:rPr>
      </w:pPr>
    </w:p>
    <w:p w14:paraId="2908E259" w14:textId="77777777" w:rsidR="008F02C7" w:rsidRDefault="008F02C7">
      <w:pPr>
        <w:widowControl/>
        <w:jc w:val="left"/>
        <w:rPr>
          <w:rFonts w:ascii="黑体" w:eastAsia="黑体" w:hAnsi="黑体"/>
          <w:sz w:val="30"/>
          <w:szCs w:val="30"/>
        </w:rPr>
      </w:pPr>
      <w:r>
        <w:rPr>
          <w:rFonts w:ascii="黑体" w:eastAsia="黑体" w:hAnsi="黑体"/>
          <w:sz w:val="30"/>
          <w:szCs w:val="30"/>
        </w:rPr>
        <w:br w:type="page"/>
      </w:r>
    </w:p>
    <w:p w14:paraId="55FD10BE" w14:textId="46FB12B1" w:rsidR="005507AE" w:rsidRPr="005C2A61" w:rsidRDefault="005507AE" w:rsidP="005C2A61">
      <w:pPr>
        <w:spacing w:line="540" w:lineRule="exact"/>
        <w:outlineLvl w:val="0"/>
        <w:rPr>
          <w:rFonts w:ascii="黑体" w:eastAsia="黑体" w:hAnsi="黑体"/>
          <w:sz w:val="30"/>
          <w:szCs w:val="30"/>
        </w:rPr>
      </w:pPr>
      <w:bookmarkStart w:id="18" w:name="_Toc177114419"/>
      <w:r w:rsidRPr="005C2A61">
        <w:rPr>
          <w:rFonts w:ascii="黑体" w:eastAsia="黑体" w:hAnsi="黑体" w:hint="eastAsia"/>
          <w:sz w:val="30"/>
          <w:szCs w:val="30"/>
        </w:rPr>
        <w:lastRenderedPageBreak/>
        <w:t>附件</w:t>
      </w:r>
      <w:bookmarkEnd w:id="18"/>
    </w:p>
    <w:p w14:paraId="7B9294D3" w14:textId="0E22FF21" w:rsidR="005507AE" w:rsidRPr="005C2A61" w:rsidRDefault="00175BAB" w:rsidP="00A90BC3">
      <w:pPr>
        <w:tabs>
          <w:tab w:val="left" w:pos="709"/>
        </w:tabs>
        <w:spacing w:line="540" w:lineRule="exact"/>
        <w:jc w:val="center"/>
        <w:rPr>
          <w:rFonts w:ascii="方正小标宋简体" w:eastAsia="方正小标宋简体" w:hAnsi="楷体"/>
          <w:sz w:val="30"/>
          <w:szCs w:val="30"/>
        </w:rPr>
      </w:pPr>
      <w:r>
        <w:rPr>
          <w:rFonts w:ascii="方正小标宋简体" w:eastAsia="方正小标宋简体" w:hAnsi="楷体" w:hint="eastAsia"/>
          <w:sz w:val="30"/>
          <w:szCs w:val="30"/>
        </w:rPr>
        <w:t>药品</w:t>
      </w:r>
      <w:r w:rsidR="004C1576">
        <w:rPr>
          <w:rFonts w:ascii="方正小标宋简体" w:eastAsia="方正小标宋简体" w:hAnsi="楷体" w:hint="eastAsia"/>
          <w:sz w:val="30"/>
          <w:szCs w:val="30"/>
        </w:rPr>
        <w:t>上市后</w:t>
      </w:r>
      <w:r>
        <w:rPr>
          <w:rFonts w:ascii="方正小标宋简体" w:eastAsia="方正小标宋简体" w:hAnsi="楷体" w:hint="eastAsia"/>
          <w:sz w:val="30"/>
          <w:szCs w:val="30"/>
        </w:rPr>
        <w:t>安全性</w:t>
      </w:r>
      <w:r w:rsidR="005C2A61">
        <w:rPr>
          <w:rFonts w:ascii="方正小标宋简体" w:eastAsia="方正小标宋简体" w:hAnsi="楷体" w:hint="eastAsia"/>
          <w:sz w:val="30"/>
          <w:szCs w:val="30"/>
        </w:rPr>
        <w:t>评价报告</w:t>
      </w:r>
      <w:r w:rsidR="005507AE" w:rsidRPr="005C2A61">
        <w:rPr>
          <w:rFonts w:ascii="方正小标宋简体" w:eastAsia="方正小标宋简体" w:hAnsi="楷体" w:hint="eastAsia"/>
          <w:sz w:val="30"/>
          <w:szCs w:val="30"/>
        </w:rPr>
        <w:t>参考框架</w:t>
      </w:r>
      <w:r w:rsidR="00226323">
        <w:rPr>
          <w:rFonts w:ascii="方正小标宋简体" w:eastAsia="方正小标宋简体" w:hAnsi="楷体" w:hint="eastAsia"/>
          <w:sz w:val="30"/>
          <w:szCs w:val="30"/>
        </w:rPr>
        <w:t>及</w:t>
      </w:r>
      <w:r w:rsidR="00017DCD">
        <w:rPr>
          <w:rFonts w:ascii="方正小标宋简体" w:eastAsia="方正小标宋简体" w:hAnsi="楷体" w:hint="eastAsia"/>
          <w:sz w:val="30"/>
          <w:szCs w:val="30"/>
        </w:rPr>
        <w:t>撰写</w:t>
      </w:r>
      <w:r w:rsidR="00226323">
        <w:rPr>
          <w:rFonts w:ascii="方正小标宋简体" w:eastAsia="方正小标宋简体" w:hAnsi="楷体" w:hint="eastAsia"/>
          <w:sz w:val="30"/>
          <w:szCs w:val="30"/>
        </w:rPr>
        <w:t>要求</w:t>
      </w:r>
    </w:p>
    <w:p w14:paraId="6A37BF1B" w14:textId="77777777" w:rsidR="005C2A61" w:rsidRDefault="005C2A61" w:rsidP="005507AE">
      <w:pPr>
        <w:spacing w:line="540" w:lineRule="exact"/>
        <w:ind w:firstLineChars="200" w:firstLine="562"/>
        <w:rPr>
          <w:rFonts w:ascii="仿宋_GB2312" w:eastAsia="仿宋_GB2312" w:hAnsi="仿宋"/>
          <w:b/>
          <w:sz w:val="28"/>
          <w:szCs w:val="28"/>
        </w:rPr>
      </w:pPr>
    </w:p>
    <w:p w14:paraId="41646B19" w14:textId="28A55843" w:rsidR="005507AE" w:rsidRPr="00A90BC3" w:rsidRDefault="005507AE" w:rsidP="00956DC6">
      <w:pPr>
        <w:spacing w:line="540" w:lineRule="exact"/>
        <w:ind w:firstLineChars="200" w:firstLine="560"/>
        <w:outlineLvl w:val="1"/>
        <w:rPr>
          <w:rFonts w:ascii="黑体" w:eastAsia="黑体" w:hAnsi="黑体"/>
          <w:sz w:val="28"/>
          <w:szCs w:val="28"/>
        </w:rPr>
      </w:pPr>
      <w:bookmarkStart w:id="19" w:name="_Toc175040359"/>
      <w:bookmarkStart w:id="20" w:name="_Toc177114420"/>
      <w:r w:rsidRPr="00A90BC3">
        <w:rPr>
          <w:rFonts w:ascii="黑体" w:eastAsia="黑体" w:hAnsi="黑体" w:hint="eastAsia"/>
          <w:sz w:val="28"/>
          <w:szCs w:val="28"/>
        </w:rPr>
        <w:t>第一部分 摘要</w:t>
      </w:r>
      <w:bookmarkEnd w:id="19"/>
      <w:bookmarkEnd w:id="20"/>
    </w:p>
    <w:p w14:paraId="446D6F14" w14:textId="79D5D1A6" w:rsidR="005507AE" w:rsidRDefault="00226323" w:rsidP="005507AE">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概述评估的原因</w:t>
      </w:r>
      <w:r w:rsidR="005507AE">
        <w:rPr>
          <w:rFonts w:ascii="仿宋_GB2312" w:eastAsia="仿宋_GB2312" w:hAnsi="仿宋" w:hint="eastAsia"/>
          <w:sz w:val="28"/>
          <w:szCs w:val="28"/>
        </w:rPr>
        <w:t>、</w:t>
      </w:r>
      <w:r>
        <w:rPr>
          <w:rFonts w:ascii="仿宋_GB2312" w:eastAsia="仿宋_GB2312" w:hAnsi="仿宋" w:hint="eastAsia"/>
          <w:sz w:val="28"/>
          <w:szCs w:val="28"/>
        </w:rPr>
        <w:t>目标</w:t>
      </w:r>
      <w:r w:rsidR="005507AE">
        <w:rPr>
          <w:rFonts w:ascii="仿宋_GB2312" w:eastAsia="仿宋_GB2312" w:hAnsi="仿宋" w:hint="eastAsia"/>
          <w:sz w:val="28"/>
          <w:szCs w:val="28"/>
        </w:rPr>
        <w:t>、方法、结果和结论。</w:t>
      </w:r>
    </w:p>
    <w:p w14:paraId="354B39AB" w14:textId="77777777" w:rsidR="005507AE" w:rsidRPr="00A90BC3" w:rsidRDefault="005507AE" w:rsidP="00956DC6">
      <w:pPr>
        <w:spacing w:line="540" w:lineRule="exact"/>
        <w:ind w:firstLineChars="200" w:firstLine="560"/>
        <w:outlineLvl w:val="1"/>
        <w:rPr>
          <w:rFonts w:ascii="黑体" w:eastAsia="黑体" w:hAnsi="黑体"/>
          <w:sz w:val="28"/>
          <w:szCs w:val="28"/>
        </w:rPr>
      </w:pPr>
      <w:bookmarkStart w:id="21" w:name="_Toc175040360"/>
      <w:bookmarkStart w:id="22" w:name="_Toc177114421"/>
      <w:r w:rsidRPr="00A90BC3">
        <w:rPr>
          <w:rFonts w:ascii="黑体" w:eastAsia="黑体" w:hAnsi="黑体" w:hint="eastAsia"/>
          <w:sz w:val="28"/>
          <w:szCs w:val="28"/>
        </w:rPr>
        <w:t>第二部分 正文</w:t>
      </w:r>
      <w:bookmarkEnd w:id="21"/>
      <w:bookmarkEnd w:id="22"/>
    </w:p>
    <w:p w14:paraId="21F02213" w14:textId="77777777" w:rsidR="005507AE" w:rsidRPr="00EE0A92" w:rsidRDefault="005507AE" w:rsidP="00956DC6">
      <w:pPr>
        <w:pStyle w:val="a7"/>
        <w:numPr>
          <w:ilvl w:val="0"/>
          <w:numId w:val="13"/>
        </w:numPr>
        <w:spacing w:line="540" w:lineRule="exact"/>
        <w:ind w:left="981" w:firstLineChars="0"/>
        <w:outlineLvl w:val="2"/>
        <w:rPr>
          <w:rFonts w:ascii="仿宋_GB2312" w:eastAsia="仿宋_GB2312" w:hAnsi="仿宋"/>
          <w:b/>
          <w:sz w:val="28"/>
          <w:szCs w:val="28"/>
        </w:rPr>
      </w:pPr>
      <w:bookmarkStart w:id="23" w:name="_Toc175040361"/>
      <w:bookmarkStart w:id="24" w:name="_Toc177114422"/>
      <w:r>
        <w:rPr>
          <w:rFonts w:ascii="仿宋_GB2312" w:eastAsia="仿宋_GB2312" w:hAnsi="仿宋" w:hint="eastAsia"/>
          <w:b/>
          <w:sz w:val="28"/>
          <w:szCs w:val="28"/>
        </w:rPr>
        <w:t>引言</w:t>
      </w:r>
      <w:bookmarkEnd w:id="23"/>
      <w:bookmarkEnd w:id="24"/>
    </w:p>
    <w:p w14:paraId="1457FB49" w14:textId="7A5F68F7" w:rsidR="005507AE" w:rsidRPr="00E47183" w:rsidRDefault="005507AE" w:rsidP="005507AE">
      <w:pPr>
        <w:tabs>
          <w:tab w:val="left" w:pos="709"/>
        </w:tabs>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主要包括评价的起</w:t>
      </w:r>
      <w:r w:rsidR="00A93762">
        <w:rPr>
          <w:rFonts w:ascii="仿宋_GB2312" w:eastAsia="仿宋_GB2312" w:hAnsi="仿宋" w:hint="eastAsia"/>
          <w:sz w:val="28"/>
          <w:szCs w:val="28"/>
        </w:rPr>
        <w:t>因、关注的安全性问题、评价</w:t>
      </w:r>
      <w:r w:rsidRPr="00E47183">
        <w:rPr>
          <w:rFonts w:ascii="仿宋_GB2312" w:eastAsia="仿宋_GB2312" w:hAnsi="仿宋" w:hint="eastAsia"/>
          <w:sz w:val="28"/>
          <w:szCs w:val="28"/>
        </w:rPr>
        <w:t>目标</w:t>
      </w:r>
      <w:r>
        <w:rPr>
          <w:rFonts w:ascii="仿宋_GB2312" w:eastAsia="仿宋_GB2312" w:hAnsi="仿宋" w:hint="eastAsia"/>
          <w:sz w:val="28"/>
          <w:szCs w:val="28"/>
        </w:rPr>
        <w:t>、评价的起止时间等，必要时可</w:t>
      </w:r>
      <w:r w:rsidRPr="00E47183">
        <w:rPr>
          <w:rFonts w:ascii="仿宋_GB2312" w:eastAsia="仿宋_GB2312" w:hAnsi="仿宋" w:hint="eastAsia"/>
          <w:sz w:val="28"/>
          <w:szCs w:val="28"/>
        </w:rPr>
        <w:t>简</w:t>
      </w:r>
      <w:r w:rsidR="003F3EBD">
        <w:rPr>
          <w:rFonts w:ascii="仿宋_GB2312" w:eastAsia="仿宋_GB2312" w:hAnsi="仿宋" w:hint="eastAsia"/>
          <w:sz w:val="28"/>
          <w:szCs w:val="28"/>
        </w:rPr>
        <w:t>述</w:t>
      </w:r>
      <w:r>
        <w:rPr>
          <w:rFonts w:ascii="仿宋_GB2312" w:eastAsia="仿宋_GB2312" w:hAnsi="仿宋" w:hint="eastAsia"/>
          <w:sz w:val="28"/>
          <w:szCs w:val="28"/>
        </w:rPr>
        <w:t>评价的</w:t>
      </w:r>
      <w:r w:rsidRPr="00E47183">
        <w:rPr>
          <w:rFonts w:ascii="仿宋_GB2312" w:eastAsia="仿宋_GB2312" w:hAnsi="仿宋" w:hint="eastAsia"/>
          <w:sz w:val="28"/>
          <w:szCs w:val="28"/>
        </w:rPr>
        <w:t>过程</w:t>
      </w:r>
      <w:r>
        <w:rPr>
          <w:rFonts w:ascii="仿宋_GB2312" w:eastAsia="仿宋_GB2312" w:hAnsi="仿宋" w:hint="eastAsia"/>
          <w:sz w:val="28"/>
          <w:szCs w:val="28"/>
        </w:rPr>
        <w:t>、参与人员</w:t>
      </w:r>
      <w:r w:rsidRPr="00E47183">
        <w:rPr>
          <w:rFonts w:ascii="仿宋_GB2312" w:eastAsia="仿宋_GB2312" w:hAnsi="仿宋" w:hint="eastAsia"/>
          <w:sz w:val="28"/>
          <w:szCs w:val="28"/>
        </w:rPr>
        <w:t>等。</w:t>
      </w:r>
    </w:p>
    <w:p w14:paraId="0E4FE4D5" w14:textId="77777777" w:rsidR="005507AE" w:rsidRPr="00EE0A92" w:rsidRDefault="005507AE" w:rsidP="00956DC6">
      <w:pPr>
        <w:pStyle w:val="a7"/>
        <w:numPr>
          <w:ilvl w:val="0"/>
          <w:numId w:val="13"/>
        </w:numPr>
        <w:spacing w:line="540" w:lineRule="exact"/>
        <w:ind w:left="981" w:firstLineChars="0"/>
        <w:outlineLvl w:val="2"/>
        <w:rPr>
          <w:rFonts w:ascii="仿宋_GB2312" w:eastAsia="仿宋_GB2312" w:hAnsi="仿宋"/>
          <w:b/>
          <w:sz w:val="28"/>
          <w:szCs w:val="28"/>
        </w:rPr>
      </w:pPr>
      <w:bookmarkStart w:id="25" w:name="_Toc175040362"/>
      <w:bookmarkStart w:id="26" w:name="_Toc177114423"/>
      <w:r>
        <w:rPr>
          <w:rFonts w:ascii="仿宋_GB2312" w:eastAsia="仿宋_GB2312" w:hAnsi="仿宋" w:hint="eastAsia"/>
          <w:b/>
          <w:sz w:val="28"/>
          <w:szCs w:val="28"/>
        </w:rPr>
        <w:t>背景信息</w:t>
      </w:r>
      <w:bookmarkEnd w:id="25"/>
      <w:bookmarkEnd w:id="26"/>
    </w:p>
    <w:p w14:paraId="2A0A7388" w14:textId="1BA857F4" w:rsidR="005507AE" w:rsidRPr="00A53BFB" w:rsidRDefault="005507AE" w:rsidP="005507AE">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介绍药品及疾病的</w:t>
      </w:r>
      <w:r w:rsidRPr="00A53BFB">
        <w:rPr>
          <w:rFonts w:ascii="仿宋_GB2312" w:eastAsia="仿宋_GB2312" w:hAnsi="仿宋" w:hint="eastAsia"/>
          <w:sz w:val="28"/>
          <w:szCs w:val="28"/>
        </w:rPr>
        <w:t>背景信息</w:t>
      </w:r>
      <w:r>
        <w:rPr>
          <w:rFonts w:ascii="仿宋_GB2312" w:eastAsia="仿宋_GB2312" w:hAnsi="仿宋" w:hint="eastAsia"/>
          <w:sz w:val="28"/>
          <w:szCs w:val="28"/>
        </w:rPr>
        <w:t>，旨在为报告审阅人员提供必要的知识储备</w:t>
      </w:r>
      <w:r w:rsidRPr="00A53BFB">
        <w:rPr>
          <w:rFonts w:ascii="仿宋_GB2312" w:eastAsia="仿宋_GB2312" w:hAnsi="仿宋" w:hint="eastAsia"/>
          <w:sz w:val="28"/>
          <w:szCs w:val="28"/>
        </w:rPr>
        <w:t>，</w:t>
      </w:r>
      <w:r w:rsidR="004F14D4">
        <w:rPr>
          <w:rFonts w:ascii="仿宋_GB2312" w:eastAsia="仿宋_GB2312" w:hAnsi="仿宋" w:hint="eastAsia"/>
          <w:sz w:val="28"/>
          <w:szCs w:val="28"/>
        </w:rPr>
        <w:t>从而</w:t>
      </w:r>
      <w:r w:rsidRPr="00A53BFB">
        <w:rPr>
          <w:rFonts w:ascii="仿宋_GB2312" w:eastAsia="仿宋_GB2312" w:hAnsi="仿宋" w:hint="eastAsia"/>
          <w:sz w:val="28"/>
          <w:szCs w:val="28"/>
        </w:rPr>
        <w:t>更好</w:t>
      </w:r>
      <w:r w:rsidR="004F14D4">
        <w:rPr>
          <w:rFonts w:ascii="仿宋_GB2312" w:eastAsia="仿宋_GB2312" w:hAnsi="仿宋" w:hint="eastAsia"/>
          <w:sz w:val="28"/>
          <w:szCs w:val="28"/>
        </w:rPr>
        <w:t>地</w:t>
      </w:r>
      <w:r w:rsidRPr="00A53BFB">
        <w:rPr>
          <w:rFonts w:ascii="仿宋_GB2312" w:eastAsia="仿宋_GB2312" w:hAnsi="仿宋" w:hint="eastAsia"/>
          <w:sz w:val="28"/>
          <w:szCs w:val="28"/>
        </w:rPr>
        <w:t>理解评价</w:t>
      </w:r>
      <w:r>
        <w:rPr>
          <w:rFonts w:ascii="仿宋_GB2312" w:eastAsia="仿宋_GB2312" w:hAnsi="仿宋" w:hint="eastAsia"/>
          <w:sz w:val="28"/>
          <w:szCs w:val="28"/>
        </w:rPr>
        <w:t>报告的</w:t>
      </w:r>
      <w:r w:rsidR="00373036">
        <w:rPr>
          <w:rFonts w:ascii="仿宋_GB2312" w:eastAsia="仿宋_GB2312" w:hAnsi="仿宋" w:hint="eastAsia"/>
          <w:sz w:val="28"/>
          <w:szCs w:val="28"/>
        </w:rPr>
        <w:t>内容</w:t>
      </w:r>
      <w:r w:rsidRPr="00A53BFB">
        <w:rPr>
          <w:rFonts w:ascii="仿宋_GB2312" w:eastAsia="仿宋_GB2312" w:hAnsi="仿宋" w:hint="eastAsia"/>
          <w:sz w:val="28"/>
          <w:szCs w:val="28"/>
        </w:rPr>
        <w:t>。</w:t>
      </w:r>
    </w:p>
    <w:p w14:paraId="6DFEEC10" w14:textId="2CE08F64" w:rsidR="005507AE" w:rsidRDefault="005507AE" w:rsidP="005507AE">
      <w:pPr>
        <w:spacing w:line="540" w:lineRule="exact"/>
        <w:ind w:firstLineChars="200" w:firstLine="562"/>
        <w:rPr>
          <w:rFonts w:ascii="仿宋_GB2312" w:eastAsia="仿宋_GB2312" w:hAnsi="仿宋"/>
          <w:sz w:val="28"/>
          <w:szCs w:val="28"/>
        </w:rPr>
      </w:pPr>
      <w:r w:rsidRPr="0004148F">
        <w:rPr>
          <w:rFonts w:ascii="仿宋_GB2312" w:eastAsia="仿宋_GB2312" w:hAnsi="仿宋" w:hint="eastAsia"/>
          <w:b/>
          <w:sz w:val="28"/>
          <w:szCs w:val="28"/>
        </w:rPr>
        <w:t>药品的背景信息</w:t>
      </w:r>
      <w:r>
        <w:rPr>
          <w:rFonts w:ascii="仿宋_GB2312" w:eastAsia="仿宋_GB2312" w:hAnsi="仿宋" w:hint="eastAsia"/>
          <w:b/>
          <w:sz w:val="28"/>
          <w:szCs w:val="28"/>
        </w:rPr>
        <w:t>：</w:t>
      </w:r>
      <w:r w:rsidRPr="00E47183">
        <w:rPr>
          <w:rFonts w:ascii="仿宋_GB2312" w:eastAsia="仿宋_GB2312" w:hAnsi="仿宋"/>
          <w:sz w:val="28"/>
          <w:szCs w:val="28"/>
        </w:rPr>
        <w:t>药品用于治疗</w:t>
      </w:r>
      <w:r w:rsidRPr="00E47183">
        <w:rPr>
          <w:rFonts w:ascii="仿宋_GB2312" w:eastAsia="仿宋_GB2312" w:hAnsi="仿宋" w:hint="eastAsia"/>
          <w:sz w:val="28"/>
          <w:szCs w:val="28"/>
        </w:rPr>
        <w:t>的</w:t>
      </w:r>
      <w:r>
        <w:rPr>
          <w:rFonts w:ascii="仿宋_GB2312" w:eastAsia="仿宋_GB2312" w:hAnsi="仿宋" w:hint="eastAsia"/>
          <w:sz w:val="28"/>
          <w:szCs w:val="28"/>
        </w:rPr>
        <w:t>基本</w:t>
      </w:r>
      <w:r w:rsidRPr="00E47183">
        <w:rPr>
          <w:rFonts w:ascii="仿宋_GB2312" w:eastAsia="仿宋_GB2312" w:hAnsi="仿宋"/>
          <w:sz w:val="28"/>
          <w:szCs w:val="28"/>
        </w:rPr>
        <w:t>信息，如药理作用</w:t>
      </w:r>
      <w:r>
        <w:rPr>
          <w:rFonts w:ascii="仿宋_GB2312" w:eastAsia="仿宋_GB2312" w:hAnsi="仿宋" w:hint="eastAsia"/>
          <w:sz w:val="28"/>
          <w:szCs w:val="28"/>
        </w:rPr>
        <w:t>、</w:t>
      </w:r>
      <w:r w:rsidRPr="00E47183">
        <w:rPr>
          <w:rFonts w:ascii="仿宋_GB2312" w:eastAsia="仿宋_GB2312" w:hAnsi="仿宋"/>
          <w:sz w:val="28"/>
          <w:szCs w:val="28"/>
        </w:rPr>
        <w:t>适应症</w:t>
      </w:r>
      <w:r>
        <w:rPr>
          <w:rFonts w:ascii="仿宋_GB2312" w:eastAsia="仿宋_GB2312" w:hAnsi="仿宋" w:hint="eastAsia"/>
          <w:sz w:val="28"/>
          <w:szCs w:val="28"/>
        </w:rPr>
        <w:t>、适用人群</w:t>
      </w:r>
      <w:r w:rsidR="00D40F6E">
        <w:rPr>
          <w:rFonts w:ascii="仿宋_GB2312" w:eastAsia="仿宋_GB2312" w:hAnsi="仿宋" w:hint="eastAsia"/>
          <w:sz w:val="28"/>
          <w:szCs w:val="28"/>
        </w:rPr>
        <w:t>等</w:t>
      </w:r>
      <w:r w:rsidRPr="00E47183">
        <w:rPr>
          <w:rFonts w:ascii="仿宋_GB2312" w:eastAsia="仿宋_GB2312" w:hAnsi="仿宋" w:hint="eastAsia"/>
          <w:sz w:val="28"/>
          <w:szCs w:val="28"/>
        </w:rPr>
        <w:t>；</w:t>
      </w:r>
      <w:r>
        <w:rPr>
          <w:rFonts w:ascii="仿宋_GB2312" w:eastAsia="仿宋_GB2312" w:hAnsi="仿宋"/>
          <w:sz w:val="28"/>
          <w:szCs w:val="28"/>
        </w:rPr>
        <w:t>药品</w:t>
      </w:r>
      <w:r w:rsidRPr="00E47183">
        <w:rPr>
          <w:rFonts w:ascii="仿宋_GB2312" w:eastAsia="仿宋_GB2312" w:hAnsi="仿宋"/>
          <w:sz w:val="28"/>
          <w:szCs w:val="28"/>
        </w:rPr>
        <w:t>上市和销售信息</w:t>
      </w:r>
      <w:r w:rsidRPr="00E47183">
        <w:rPr>
          <w:rFonts w:ascii="仿宋_GB2312" w:eastAsia="仿宋_GB2312" w:hAnsi="仿宋" w:hint="eastAsia"/>
          <w:sz w:val="28"/>
          <w:szCs w:val="28"/>
        </w:rPr>
        <w:t>，</w:t>
      </w:r>
      <w:r>
        <w:rPr>
          <w:rFonts w:ascii="仿宋_GB2312" w:eastAsia="仿宋_GB2312" w:hAnsi="仿宋"/>
          <w:sz w:val="28"/>
          <w:szCs w:val="28"/>
        </w:rPr>
        <w:t>如批准</w:t>
      </w:r>
      <w:r>
        <w:rPr>
          <w:rFonts w:ascii="仿宋_GB2312" w:eastAsia="仿宋_GB2312" w:hAnsi="仿宋" w:hint="eastAsia"/>
          <w:sz w:val="28"/>
          <w:szCs w:val="28"/>
        </w:rPr>
        <w:t>及</w:t>
      </w:r>
      <w:r w:rsidRPr="00E47183">
        <w:rPr>
          <w:rFonts w:ascii="仿宋_GB2312" w:eastAsia="仿宋_GB2312" w:hAnsi="仿宋"/>
          <w:sz w:val="28"/>
          <w:szCs w:val="28"/>
        </w:rPr>
        <w:t>上市的时间</w:t>
      </w:r>
      <w:r>
        <w:rPr>
          <w:rFonts w:ascii="仿宋_GB2312" w:eastAsia="仿宋_GB2312" w:hAnsi="仿宋" w:hint="eastAsia"/>
          <w:sz w:val="28"/>
          <w:szCs w:val="28"/>
        </w:rPr>
        <w:t>、</w:t>
      </w:r>
      <w:r w:rsidRPr="00E47183">
        <w:rPr>
          <w:rFonts w:ascii="仿宋_GB2312" w:eastAsia="仿宋_GB2312" w:hAnsi="仿宋"/>
          <w:sz w:val="28"/>
          <w:szCs w:val="28"/>
        </w:rPr>
        <w:t>近</w:t>
      </w:r>
      <w:r>
        <w:rPr>
          <w:rFonts w:ascii="仿宋_GB2312" w:eastAsia="仿宋_GB2312" w:hAnsi="仿宋" w:hint="eastAsia"/>
          <w:sz w:val="28"/>
          <w:szCs w:val="28"/>
        </w:rPr>
        <w:t>3</w:t>
      </w:r>
      <w:r>
        <w:rPr>
          <w:rFonts w:ascii="仿宋_GB2312" w:eastAsia="仿宋_GB2312" w:hAnsi="仿宋"/>
          <w:sz w:val="28"/>
          <w:szCs w:val="28"/>
        </w:rPr>
        <w:t>-5</w:t>
      </w:r>
      <w:r w:rsidRPr="00E47183">
        <w:rPr>
          <w:rFonts w:ascii="仿宋_GB2312" w:eastAsia="仿宋_GB2312" w:hAnsi="仿宋"/>
          <w:sz w:val="28"/>
          <w:szCs w:val="28"/>
        </w:rPr>
        <w:t>年销量及估算使用人数</w:t>
      </w:r>
      <w:r w:rsidR="003F3EBD">
        <w:rPr>
          <w:rFonts w:ascii="仿宋_GB2312" w:eastAsia="仿宋_GB2312" w:hAnsi="仿宋" w:hint="eastAsia"/>
          <w:sz w:val="28"/>
          <w:szCs w:val="28"/>
        </w:rPr>
        <w:t>或</w:t>
      </w:r>
      <w:r w:rsidRPr="00E47183">
        <w:rPr>
          <w:rFonts w:ascii="仿宋_GB2312" w:eastAsia="仿宋_GB2312" w:hAnsi="仿宋"/>
          <w:sz w:val="28"/>
          <w:szCs w:val="28"/>
        </w:rPr>
        <w:t>市场份额等</w:t>
      </w:r>
      <w:r w:rsidRPr="00E47183">
        <w:rPr>
          <w:rFonts w:ascii="仿宋_GB2312" w:eastAsia="仿宋_GB2312" w:hAnsi="仿宋" w:hint="eastAsia"/>
          <w:sz w:val="28"/>
          <w:szCs w:val="28"/>
        </w:rPr>
        <w:t>；</w:t>
      </w:r>
      <w:r w:rsidRPr="00E47183">
        <w:rPr>
          <w:rFonts w:ascii="仿宋_GB2312" w:eastAsia="仿宋_GB2312" w:hAnsi="仿宋"/>
          <w:sz w:val="28"/>
          <w:szCs w:val="28"/>
        </w:rPr>
        <w:t>药品</w:t>
      </w:r>
      <w:r>
        <w:rPr>
          <w:rFonts w:ascii="仿宋_GB2312" w:eastAsia="仿宋_GB2312" w:hAnsi="仿宋" w:hint="eastAsia"/>
          <w:sz w:val="28"/>
          <w:szCs w:val="28"/>
        </w:rPr>
        <w:t>的</w:t>
      </w:r>
      <w:r w:rsidRPr="00E47183">
        <w:rPr>
          <w:rFonts w:ascii="仿宋_GB2312" w:eastAsia="仿宋_GB2312" w:hAnsi="仿宋"/>
          <w:sz w:val="28"/>
          <w:szCs w:val="28"/>
        </w:rPr>
        <w:t>管理状态</w:t>
      </w:r>
      <w:r w:rsidRPr="00E47183">
        <w:rPr>
          <w:rFonts w:ascii="仿宋_GB2312" w:eastAsia="仿宋_GB2312" w:hAnsi="仿宋" w:hint="eastAsia"/>
          <w:sz w:val="28"/>
          <w:szCs w:val="28"/>
        </w:rPr>
        <w:t>，</w:t>
      </w:r>
      <w:r w:rsidRPr="00E47183">
        <w:rPr>
          <w:rFonts w:ascii="仿宋_GB2312" w:eastAsia="仿宋_GB2312" w:hAnsi="仿宋"/>
          <w:sz w:val="28"/>
          <w:szCs w:val="28"/>
        </w:rPr>
        <w:t>如</w:t>
      </w:r>
      <w:r>
        <w:rPr>
          <w:rFonts w:ascii="仿宋_GB2312" w:eastAsia="仿宋_GB2312" w:hAnsi="仿宋" w:hint="eastAsia"/>
          <w:sz w:val="28"/>
          <w:szCs w:val="28"/>
        </w:rPr>
        <w:t>纳入</w:t>
      </w:r>
      <w:r w:rsidRPr="00E47183">
        <w:rPr>
          <w:rFonts w:ascii="仿宋_GB2312" w:eastAsia="仿宋_GB2312" w:hAnsi="仿宋"/>
          <w:sz w:val="28"/>
          <w:szCs w:val="28"/>
        </w:rPr>
        <w:t>基本药</w:t>
      </w:r>
      <w:r>
        <w:rPr>
          <w:rFonts w:ascii="仿宋_GB2312" w:eastAsia="仿宋_GB2312" w:hAnsi="仿宋" w:hint="eastAsia"/>
          <w:sz w:val="28"/>
          <w:szCs w:val="28"/>
        </w:rPr>
        <w:t>、非处方药、</w:t>
      </w:r>
      <w:r w:rsidRPr="00E47183">
        <w:rPr>
          <w:rFonts w:ascii="仿宋_GB2312" w:eastAsia="仿宋_GB2312" w:hAnsi="仿宋"/>
          <w:sz w:val="28"/>
          <w:szCs w:val="28"/>
        </w:rPr>
        <w:t>麻精</w:t>
      </w:r>
      <w:r w:rsidRPr="00E47183">
        <w:rPr>
          <w:rFonts w:ascii="仿宋_GB2312" w:eastAsia="仿宋_GB2312" w:hAnsi="仿宋" w:hint="eastAsia"/>
          <w:sz w:val="28"/>
          <w:szCs w:val="28"/>
        </w:rPr>
        <w:t>药</w:t>
      </w:r>
      <w:r>
        <w:rPr>
          <w:rFonts w:ascii="仿宋_GB2312" w:eastAsia="仿宋_GB2312" w:hAnsi="仿宋" w:hint="eastAsia"/>
          <w:sz w:val="28"/>
          <w:szCs w:val="28"/>
        </w:rPr>
        <w:t>、</w:t>
      </w:r>
      <w:r w:rsidRPr="00E47183">
        <w:rPr>
          <w:rFonts w:ascii="仿宋_GB2312" w:eastAsia="仿宋_GB2312" w:hAnsi="仿宋"/>
          <w:sz w:val="28"/>
          <w:szCs w:val="28"/>
        </w:rPr>
        <w:t>兴奋剂、</w:t>
      </w:r>
      <w:proofErr w:type="gramStart"/>
      <w:r w:rsidRPr="00E47183">
        <w:rPr>
          <w:rFonts w:ascii="仿宋_GB2312" w:eastAsia="仿宋_GB2312" w:hAnsi="仿宋"/>
          <w:sz w:val="28"/>
          <w:szCs w:val="28"/>
        </w:rPr>
        <w:t>医</w:t>
      </w:r>
      <w:proofErr w:type="gramEnd"/>
      <w:r w:rsidRPr="00E47183">
        <w:rPr>
          <w:rFonts w:ascii="仿宋_GB2312" w:eastAsia="仿宋_GB2312" w:hAnsi="仿宋"/>
          <w:sz w:val="28"/>
          <w:szCs w:val="28"/>
        </w:rPr>
        <w:t>保</w:t>
      </w:r>
      <w:r w:rsidRPr="00E47183">
        <w:rPr>
          <w:rFonts w:ascii="仿宋_GB2312" w:eastAsia="仿宋_GB2312" w:hAnsi="仿宋" w:hint="eastAsia"/>
          <w:sz w:val="28"/>
          <w:szCs w:val="28"/>
        </w:rPr>
        <w:t>、</w:t>
      </w:r>
      <w:r w:rsidRPr="00E47183">
        <w:rPr>
          <w:rFonts w:ascii="仿宋_GB2312" w:eastAsia="仿宋_GB2312" w:hAnsi="仿宋"/>
          <w:sz w:val="28"/>
          <w:szCs w:val="28"/>
        </w:rPr>
        <w:t>集采</w:t>
      </w:r>
      <w:r>
        <w:rPr>
          <w:rFonts w:ascii="仿宋_GB2312" w:eastAsia="仿宋_GB2312" w:hAnsi="仿宋" w:hint="eastAsia"/>
          <w:sz w:val="28"/>
          <w:szCs w:val="28"/>
        </w:rPr>
        <w:t>等</w:t>
      </w:r>
      <w:r w:rsidRPr="00E47183">
        <w:rPr>
          <w:rFonts w:ascii="仿宋_GB2312" w:eastAsia="仿宋_GB2312" w:hAnsi="仿宋"/>
          <w:sz w:val="28"/>
          <w:szCs w:val="28"/>
        </w:rPr>
        <w:t>目录情况</w:t>
      </w:r>
      <w:r>
        <w:rPr>
          <w:rFonts w:ascii="仿宋_GB2312" w:eastAsia="仿宋_GB2312" w:hAnsi="仿宋" w:hint="eastAsia"/>
          <w:sz w:val="28"/>
          <w:szCs w:val="28"/>
        </w:rPr>
        <w:t>；药品的参比制剂或原</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企业、仿制</w:t>
      </w:r>
      <w:proofErr w:type="gramStart"/>
      <w:r>
        <w:rPr>
          <w:rFonts w:ascii="仿宋_GB2312" w:eastAsia="仿宋_GB2312" w:hAnsi="仿宋" w:hint="eastAsia"/>
          <w:sz w:val="28"/>
          <w:szCs w:val="28"/>
        </w:rPr>
        <w:t>药</w:t>
      </w:r>
      <w:r w:rsidRPr="00E47183">
        <w:rPr>
          <w:rFonts w:ascii="仿宋_GB2312" w:eastAsia="仿宋_GB2312" w:hAnsi="仿宋"/>
          <w:sz w:val="28"/>
          <w:szCs w:val="28"/>
        </w:rPr>
        <w:t>通过</w:t>
      </w:r>
      <w:proofErr w:type="gramEnd"/>
      <w:r w:rsidRPr="00E47183">
        <w:rPr>
          <w:rFonts w:ascii="仿宋_GB2312" w:eastAsia="仿宋_GB2312" w:hAnsi="仿宋" w:hint="eastAsia"/>
          <w:sz w:val="28"/>
          <w:szCs w:val="28"/>
        </w:rPr>
        <w:t>质量疗效</w:t>
      </w:r>
      <w:r w:rsidRPr="00E47183">
        <w:rPr>
          <w:rFonts w:ascii="仿宋_GB2312" w:eastAsia="仿宋_GB2312" w:hAnsi="仿宋"/>
          <w:sz w:val="28"/>
          <w:szCs w:val="28"/>
        </w:rPr>
        <w:t>一致性评价</w:t>
      </w:r>
      <w:r>
        <w:rPr>
          <w:rFonts w:ascii="仿宋_GB2312" w:eastAsia="仿宋_GB2312" w:hAnsi="仿宋" w:hint="eastAsia"/>
          <w:sz w:val="28"/>
          <w:szCs w:val="28"/>
        </w:rPr>
        <w:t>情况；</w:t>
      </w:r>
      <w:r w:rsidRPr="00B84FA2">
        <w:rPr>
          <w:rFonts w:ascii="仿宋_GB2312" w:eastAsia="仿宋_GB2312" w:hAnsi="仿宋" w:hint="eastAsia"/>
          <w:sz w:val="28"/>
          <w:szCs w:val="28"/>
        </w:rPr>
        <w:t>药品重要的安全性信息，</w:t>
      </w:r>
      <w:r>
        <w:rPr>
          <w:rFonts w:ascii="仿宋_GB2312" w:eastAsia="仿宋_GB2312" w:hAnsi="仿宋" w:hint="eastAsia"/>
          <w:sz w:val="28"/>
          <w:szCs w:val="28"/>
        </w:rPr>
        <w:t>如已知的重要风险、国内外</w:t>
      </w:r>
      <w:r w:rsidRPr="00D226B7">
        <w:rPr>
          <w:rFonts w:ascii="仿宋_GB2312" w:eastAsia="仿宋_GB2312" w:hAnsi="仿宋"/>
          <w:sz w:val="28"/>
          <w:szCs w:val="28"/>
        </w:rPr>
        <w:t>监管部门</w:t>
      </w:r>
      <w:r w:rsidR="00983DBD">
        <w:rPr>
          <w:rFonts w:ascii="仿宋_GB2312" w:eastAsia="仿宋_GB2312" w:hAnsi="仿宋" w:hint="eastAsia"/>
          <w:sz w:val="28"/>
          <w:szCs w:val="28"/>
        </w:rPr>
        <w:t>针</w:t>
      </w:r>
      <w:r w:rsidR="000E6D1D">
        <w:rPr>
          <w:rFonts w:ascii="仿宋_GB2312" w:eastAsia="仿宋_GB2312" w:hAnsi="仿宋" w:hint="eastAsia"/>
          <w:sz w:val="28"/>
          <w:szCs w:val="28"/>
        </w:rPr>
        <w:t>或</w:t>
      </w:r>
      <w:r w:rsidR="000E6D1D">
        <w:rPr>
          <w:rFonts w:ascii="仿宋_GB2312" w:eastAsia="仿宋_GB2312" w:hAnsi="仿宋"/>
          <w:sz w:val="28"/>
          <w:szCs w:val="28"/>
        </w:rPr>
        <w:t>持有人</w:t>
      </w:r>
      <w:r w:rsidR="00983DBD">
        <w:rPr>
          <w:rFonts w:ascii="仿宋_GB2312" w:eastAsia="仿宋_GB2312" w:hAnsi="仿宋" w:hint="eastAsia"/>
          <w:sz w:val="28"/>
          <w:szCs w:val="28"/>
        </w:rPr>
        <w:t>对关注</w:t>
      </w:r>
      <w:r w:rsidR="002E31EF">
        <w:rPr>
          <w:rFonts w:ascii="仿宋_GB2312" w:eastAsia="仿宋_GB2312" w:hAnsi="仿宋" w:hint="eastAsia"/>
          <w:sz w:val="28"/>
          <w:szCs w:val="28"/>
        </w:rPr>
        <w:t>风险</w:t>
      </w:r>
      <w:r w:rsidRPr="00D226B7">
        <w:rPr>
          <w:rFonts w:ascii="仿宋_GB2312" w:eastAsia="仿宋_GB2312" w:hAnsi="仿宋"/>
          <w:sz w:val="28"/>
          <w:szCs w:val="28"/>
        </w:rPr>
        <w:t>采取</w:t>
      </w:r>
      <w:r>
        <w:rPr>
          <w:rFonts w:ascii="仿宋_GB2312" w:eastAsia="仿宋_GB2312" w:hAnsi="仿宋" w:hint="eastAsia"/>
          <w:sz w:val="28"/>
          <w:szCs w:val="28"/>
        </w:rPr>
        <w:t>的</w:t>
      </w:r>
      <w:r w:rsidRPr="00D226B7">
        <w:rPr>
          <w:rFonts w:ascii="仿宋_GB2312" w:eastAsia="仿宋_GB2312" w:hAnsi="仿宋"/>
          <w:sz w:val="28"/>
          <w:szCs w:val="28"/>
        </w:rPr>
        <w:t>措施</w:t>
      </w:r>
      <w:r w:rsidR="00983DBD">
        <w:rPr>
          <w:rFonts w:ascii="仿宋_GB2312" w:eastAsia="仿宋_GB2312" w:hAnsi="仿宋" w:hint="eastAsia"/>
          <w:sz w:val="28"/>
          <w:szCs w:val="28"/>
        </w:rPr>
        <w:t>等。</w:t>
      </w:r>
    </w:p>
    <w:p w14:paraId="67B322D6" w14:textId="38FC9B82" w:rsidR="005507AE" w:rsidRDefault="005507AE" w:rsidP="005507AE">
      <w:pPr>
        <w:spacing w:line="540" w:lineRule="exact"/>
        <w:ind w:firstLineChars="200" w:firstLine="562"/>
        <w:rPr>
          <w:rFonts w:ascii="仿宋_GB2312" w:eastAsia="仿宋_GB2312" w:hAnsi="仿宋"/>
          <w:sz w:val="28"/>
          <w:szCs w:val="28"/>
        </w:rPr>
      </w:pPr>
      <w:r>
        <w:rPr>
          <w:rFonts w:ascii="仿宋_GB2312" w:eastAsia="仿宋_GB2312" w:hAnsi="仿宋" w:hint="eastAsia"/>
          <w:b/>
          <w:sz w:val="28"/>
          <w:szCs w:val="28"/>
        </w:rPr>
        <w:t>疾病的背景信</w:t>
      </w:r>
      <w:r w:rsidRPr="0004148F">
        <w:rPr>
          <w:rFonts w:ascii="仿宋_GB2312" w:eastAsia="仿宋_GB2312" w:hAnsi="仿宋" w:hint="eastAsia"/>
          <w:b/>
          <w:sz w:val="28"/>
          <w:szCs w:val="28"/>
        </w:rPr>
        <w:t>息</w:t>
      </w:r>
      <w:r>
        <w:rPr>
          <w:rFonts w:ascii="仿宋_GB2312" w:eastAsia="仿宋_GB2312" w:hAnsi="仿宋" w:hint="eastAsia"/>
          <w:sz w:val="28"/>
          <w:szCs w:val="28"/>
        </w:rPr>
        <w:t>：安全性问题如果涉及不常见疾病，应当简单陈述疾病的基本概念</w:t>
      </w:r>
      <w:r w:rsidR="009C0202">
        <w:rPr>
          <w:rFonts w:ascii="仿宋_GB2312" w:eastAsia="仿宋_GB2312" w:hAnsi="仿宋" w:hint="eastAsia"/>
          <w:sz w:val="28"/>
          <w:szCs w:val="28"/>
        </w:rPr>
        <w:t>，如</w:t>
      </w:r>
      <w:r>
        <w:rPr>
          <w:rFonts w:ascii="仿宋_GB2312" w:eastAsia="仿宋_GB2312" w:hAnsi="仿宋" w:hint="eastAsia"/>
          <w:sz w:val="28"/>
          <w:szCs w:val="28"/>
        </w:rPr>
        <w:t>发病机制、主要症状、预后等，必要时应提供诊断方法（如果对个</w:t>
      </w:r>
      <w:proofErr w:type="gramStart"/>
      <w:r>
        <w:rPr>
          <w:rFonts w:ascii="仿宋_GB2312" w:eastAsia="仿宋_GB2312" w:hAnsi="仿宋" w:hint="eastAsia"/>
          <w:sz w:val="28"/>
          <w:szCs w:val="28"/>
        </w:rPr>
        <w:t>例评价</w:t>
      </w:r>
      <w:proofErr w:type="gramEnd"/>
      <w:r>
        <w:rPr>
          <w:rFonts w:ascii="仿宋_GB2312" w:eastAsia="仿宋_GB2312" w:hAnsi="仿宋" w:hint="eastAsia"/>
          <w:sz w:val="28"/>
          <w:szCs w:val="28"/>
        </w:rPr>
        <w:t>有</w:t>
      </w:r>
      <w:r w:rsidR="003C2717">
        <w:rPr>
          <w:rFonts w:ascii="仿宋_GB2312" w:eastAsia="仿宋_GB2312" w:hAnsi="仿宋" w:hint="eastAsia"/>
          <w:sz w:val="28"/>
          <w:szCs w:val="28"/>
        </w:rPr>
        <w:t>关键作用</w:t>
      </w:r>
      <w:r>
        <w:rPr>
          <w:rFonts w:ascii="仿宋_GB2312" w:eastAsia="仿宋_GB2312" w:hAnsi="仿宋" w:hint="eastAsia"/>
          <w:sz w:val="28"/>
          <w:szCs w:val="28"/>
        </w:rPr>
        <w:t>）、发生率或患病率等信息。</w:t>
      </w:r>
      <w:r w:rsidR="00C6206B">
        <w:rPr>
          <w:rFonts w:ascii="仿宋_GB2312" w:eastAsia="仿宋_GB2312" w:hAnsi="仿宋" w:hint="eastAsia"/>
          <w:sz w:val="28"/>
          <w:szCs w:val="28"/>
        </w:rPr>
        <w:t>一些重要的数据应简述来源，或</w:t>
      </w:r>
      <w:r w:rsidR="00C6206B" w:rsidRPr="0037204D">
        <w:rPr>
          <w:rFonts w:ascii="仿宋_GB2312" w:eastAsia="仿宋_GB2312" w:hAnsi="仿宋" w:hint="eastAsia"/>
          <w:sz w:val="28"/>
          <w:szCs w:val="28"/>
        </w:rPr>
        <w:t>以参考文献形式明</w:t>
      </w:r>
      <w:r w:rsidR="00C6206B">
        <w:rPr>
          <w:rFonts w:ascii="仿宋_GB2312" w:eastAsia="仿宋_GB2312" w:hAnsi="仿宋" w:hint="eastAsia"/>
          <w:sz w:val="28"/>
          <w:szCs w:val="28"/>
        </w:rPr>
        <w:t>确出处</w:t>
      </w:r>
      <w:r w:rsidR="00C6206B" w:rsidRPr="0037204D">
        <w:rPr>
          <w:rFonts w:ascii="仿宋_GB2312" w:eastAsia="仿宋_GB2312" w:hAnsi="仿宋" w:hint="eastAsia"/>
          <w:sz w:val="28"/>
          <w:szCs w:val="28"/>
        </w:rPr>
        <w:t>。</w:t>
      </w:r>
      <w:r w:rsidR="008A6E22">
        <w:rPr>
          <w:rFonts w:ascii="仿宋_GB2312" w:eastAsia="仿宋_GB2312" w:hAnsi="仿宋" w:hint="eastAsia"/>
          <w:sz w:val="28"/>
          <w:szCs w:val="28"/>
        </w:rPr>
        <w:t>根据报告内容需要，</w:t>
      </w:r>
      <w:r>
        <w:rPr>
          <w:rFonts w:ascii="仿宋_GB2312" w:eastAsia="仿宋_GB2312" w:hAnsi="仿宋" w:hint="eastAsia"/>
          <w:sz w:val="28"/>
          <w:szCs w:val="28"/>
        </w:rPr>
        <w:t>疾病的</w:t>
      </w:r>
      <w:r w:rsidR="003C2717">
        <w:rPr>
          <w:rFonts w:ascii="仿宋_GB2312" w:eastAsia="仿宋_GB2312" w:hAnsi="仿宋" w:hint="eastAsia"/>
          <w:sz w:val="28"/>
          <w:szCs w:val="28"/>
        </w:rPr>
        <w:t>背景</w:t>
      </w:r>
      <w:r>
        <w:rPr>
          <w:rFonts w:ascii="仿宋_GB2312" w:eastAsia="仿宋_GB2312" w:hAnsi="仿宋" w:hint="eastAsia"/>
          <w:sz w:val="28"/>
          <w:szCs w:val="28"/>
        </w:rPr>
        <w:t>信息也可以在</w:t>
      </w:r>
      <w:r w:rsidR="00C6206B">
        <w:rPr>
          <w:rFonts w:ascii="仿宋_GB2312" w:eastAsia="仿宋_GB2312" w:hAnsi="仿宋" w:hint="eastAsia"/>
          <w:sz w:val="28"/>
          <w:szCs w:val="28"/>
        </w:rPr>
        <w:t>报告的其他部分讨论</w:t>
      </w:r>
      <w:r w:rsidR="003C2717">
        <w:rPr>
          <w:rFonts w:ascii="仿宋_GB2312" w:eastAsia="仿宋_GB2312" w:hAnsi="仿宋" w:hint="eastAsia"/>
          <w:sz w:val="28"/>
          <w:szCs w:val="28"/>
        </w:rPr>
        <w:t>，</w:t>
      </w:r>
      <w:r w:rsidR="00C6206B">
        <w:rPr>
          <w:rFonts w:ascii="仿宋_GB2312" w:eastAsia="仿宋_GB2312" w:hAnsi="仿宋" w:hint="eastAsia"/>
          <w:sz w:val="28"/>
          <w:szCs w:val="28"/>
        </w:rPr>
        <w:t>如</w:t>
      </w:r>
      <w:r>
        <w:rPr>
          <w:rFonts w:ascii="仿宋_GB2312" w:eastAsia="仿宋_GB2312" w:hAnsi="仿宋" w:hint="eastAsia"/>
          <w:sz w:val="28"/>
          <w:szCs w:val="28"/>
        </w:rPr>
        <w:t>获益</w:t>
      </w:r>
      <w:r w:rsidR="00C6206B">
        <w:rPr>
          <w:rFonts w:ascii="仿宋_GB2312" w:eastAsia="仿宋_GB2312" w:hAnsi="仿宋" w:hint="eastAsia"/>
          <w:sz w:val="28"/>
          <w:szCs w:val="28"/>
        </w:rPr>
        <w:t>分析</w:t>
      </w:r>
      <w:r w:rsidR="003C2717">
        <w:rPr>
          <w:rFonts w:ascii="仿宋_GB2312" w:eastAsia="仿宋_GB2312" w:hAnsi="仿宋" w:hint="eastAsia"/>
          <w:sz w:val="28"/>
          <w:szCs w:val="28"/>
        </w:rPr>
        <w:t>部分</w:t>
      </w:r>
      <w:r>
        <w:rPr>
          <w:rFonts w:ascii="仿宋_GB2312" w:eastAsia="仿宋_GB2312" w:hAnsi="仿宋" w:hint="eastAsia"/>
          <w:sz w:val="28"/>
          <w:szCs w:val="28"/>
        </w:rPr>
        <w:t>。</w:t>
      </w:r>
    </w:p>
    <w:p w14:paraId="5E4C63DA" w14:textId="03F9E810" w:rsidR="005507AE" w:rsidRPr="0091267F" w:rsidRDefault="005F44AD" w:rsidP="00956DC6">
      <w:pPr>
        <w:pStyle w:val="a7"/>
        <w:numPr>
          <w:ilvl w:val="0"/>
          <w:numId w:val="13"/>
        </w:numPr>
        <w:spacing w:line="540" w:lineRule="exact"/>
        <w:ind w:left="981" w:firstLineChars="0"/>
        <w:outlineLvl w:val="2"/>
        <w:rPr>
          <w:rFonts w:ascii="仿宋_GB2312" w:eastAsia="仿宋_GB2312" w:hAnsi="仿宋"/>
          <w:b/>
          <w:sz w:val="28"/>
          <w:szCs w:val="28"/>
        </w:rPr>
      </w:pPr>
      <w:bookmarkStart w:id="27" w:name="_Toc175040363"/>
      <w:bookmarkStart w:id="28" w:name="_Toc177114424"/>
      <w:r>
        <w:rPr>
          <w:rFonts w:ascii="仿宋_GB2312" w:eastAsia="仿宋_GB2312" w:hAnsi="仿宋" w:hint="eastAsia"/>
          <w:b/>
          <w:sz w:val="28"/>
          <w:szCs w:val="28"/>
        </w:rPr>
        <w:lastRenderedPageBreak/>
        <w:t>评价方法</w:t>
      </w:r>
      <w:r>
        <w:rPr>
          <w:rFonts w:ascii="仿宋_GB2312" w:eastAsia="仿宋_GB2312" w:hAnsi="仿宋"/>
          <w:b/>
          <w:sz w:val="28"/>
          <w:szCs w:val="28"/>
        </w:rPr>
        <w:t>和</w:t>
      </w:r>
      <w:r>
        <w:rPr>
          <w:rFonts w:ascii="仿宋_GB2312" w:eastAsia="仿宋_GB2312" w:hAnsi="仿宋" w:hint="eastAsia"/>
          <w:b/>
          <w:sz w:val="28"/>
          <w:szCs w:val="28"/>
        </w:rPr>
        <w:t>资料</w:t>
      </w:r>
      <w:r w:rsidR="005507AE">
        <w:rPr>
          <w:rFonts w:ascii="仿宋_GB2312" w:eastAsia="仿宋_GB2312" w:hAnsi="仿宋" w:hint="eastAsia"/>
          <w:b/>
          <w:sz w:val="28"/>
          <w:szCs w:val="28"/>
        </w:rPr>
        <w:t>分析</w:t>
      </w:r>
      <w:bookmarkEnd w:id="27"/>
      <w:bookmarkEnd w:id="28"/>
    </w:p>
    <w:p w14:paraId="339F828E" w14:textId="6B62E2F4" w:rsidR="005507AE" w:rsidRPr="00B42173" w:rsidRDefault="005F44AD" w:rsidP="003D224E">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简要概述评价方法，如资料来源、分析方法、相关定义或标准等</w:t>
      </w:r>
      <w:r w:rsidR="003D224E">
        <w:rPr>
          <w:rFonts w:ascii="仿宋_GB2312" w:eastAsia="仿宋_GB2312" w:hAnsi="仿宋" w:hint="eastAsia"/>
          <w:sz w:val="28"/>
          <w:szCs w:val="28"/>
        </w:rPr>
        <w:t>，并对证据资料进行详细分析。</w:t>
      </w:r>
      <w:r w:rsidR="008313F8">
        <w:rPr>
          <w:rFonts w:ascii="仿宋_GB2312" w:eastAsia="仿宋_GB2312" w:hAnsi="仿宋" w:hint="eastAsia"/>
          <w:sz w:val="28"/>
          <w:szCs w:val="28"/>
        </w:rPr>
        <w:t>评价报告中尽量呈现与安全性问题关联性高、证据强度高、能够支持评价结论的</w:t>
      </w:r>
      <w:r w:rsidR="001A12B7">
        <w:rPr>
          <w:rFonts w:ascii="仿宋_GB2312" w:eastAsia="仿宋_GB2312" w:hAnsi="仿宋" w:hint="eastAsia"/>
          <w:sz w:val="28"/>
          <w:szCs w:val="28"/>
        </w:rPr>
        <w:t>信息和</w:t>
      </w:r>
      <w:r w:rsidR="005507AE" w:rsidRPr="00B70457">
        <w:rPr>
          <w:rFonts w:ascii="仿宋_GB2312" w:eastAsia="仿宋_GB2312" w:hAnsi="仿宋" w:hint="eastAsia"/>
          <w:sz w:val="28"/>
          <w:szCs w:val="28"/>
        </w:rPr>
        <w:t>资料</w:t>
      </w:r>
      <w:r w:rsidR="005507AE" w:rsidRPr="00B42173">
        <w:rPr>
          <w:rFonts w:ascii="仿宋_GB2312" w:eastAsia="仿宋_GB2312" w:hAnsi="仿宋" w:hint="eastAsia"/>
          <w:sz w:val="28"/>
          <w:szCs w:val="28"/>
        </w:rPr>
        <w:t>。</w:t>
      </w:r>
      <w:r w:rsidR="00FA0F80" w:rsidRPr="00B42173">
        <w:rPr>
          <w:rFonts w:ascii="仿宋_GB2312" w:eastAsia="仿宋_GB2312" w:hAnsi="仿宋" w:hint="eastAsia"/>
          <w:sz w:val="28"/>
          <w:szCs w:val="28"/>
        </w:rPr>
        <w:t>必要时，还应对证据的强度、充分性、局限性进行客观评述。</w:t>
      </w:r>
    </w:p>
    <w:p w14:paraId="09604BB2" w14:textId="3DA19377" w:rsidR="005507AE" w:rsidRDefault="005507AE" w:rsidP="005507AE">
      <w:pPr>
        <w:spacing w:line="540" w:lineRule="exact"/>
        <w:ind w:firstLineChars="200" w:firstLine="560"/>
        <w:rPr>
          <w:rFonts w:ascii="仿宋_GB2312" w:eastAsia="仿宋_GB2312" w:hAnsi="仿宋"/>
          <w:sz w:val="28"/>
          <w:szCs w:val="28"/>
        </w:rPr>
      </w:pPr>
      <w:r w:rsidRPr="002365A9">
        <w:rPr>
          <w:rFonts w:ascii="仿宋_GB2312" w:eastAsia="仿宋_GB2312" w:hAnsi="仿宋" w:hint="eastAsia"/>
          <w:sz w:val="28"/>
          <w:szCs w:val="28"/>
        </w:rPr>
        <w:t>证据资料可以按</w:t>
      </w:r>
      <w:r>
        <w:rPr>
          <w:rFonts w:ascii="仿宋_GB2312" w:eastAsia="仿宋_GB2312" w:hAnsi="仿宋" w:hint="eastAsia"/>
          <w:sz w:val="28"/>
          <w:szCs w:val="28"/>
        </w:rPr>
        <w:t>照</w:t>
      </w:r>
      <w:r w:rsidRPr="002365A9">
        <w:rPr>
          <w:rFonts w:ascii="仿宋_GB2312" w:eastAsia="仿宋_GB2312" w:hAnsi="仿宋" w:hint="eastAsia"/>
          <w:sz w:val="28"/>
          <w:szCs w:val="28"/>
        </w:rPr>
        <w:t>其来源（</w:t>
      </w:r>
      <w:r>
        <w:rPr>
          <w:rFonts w:ascii="仿宋_GB2312" w:eastAsia="仿宋_GB2312" w:hAnsi="仿宋" w:hint="eastAsia"/>
          <w:sz w:val="28"/>
          <w:szCs w:val="28"/>
        </w:rPr>
        <w:t>例</w:t>
      </w:r>
      <w:r w:rsidRPr="002365A9">
        <w:rPr>
          <w:rFonts w:ascii="仿宋_GB2312" w:eastAsia="仿宋_GB2312" w:hAnsi="仿宋" w:hint="eastAsia"/>
          <w:sz w:val="28"/>
          <w:szCs w:val="28"/>
        </w:rPr>
        <w:t>如</w:t>
      </w:r>
      <w:r w:rsidR="003828A0">
        <w:rPr>
          <w:rFonts w:ascii="仿宋_GB2312" w:eastAsia="仿宋_GB2312" w:hAnsi="仿宋" w:hint="eastAsia"/>
          <w:sz w:val="28"/>
          <w:szCs w:val="28"/>
        </w:rPr>
        <w:t>药物警戒</w:t>
      </w:r>
      <w:r>
        <w:rPr>
          <w:rFonts w:ascii="仿宋_GB2312" w:eastAsia="仿宋_GB2312" w:hAnsi="仿宋" w:hint="eastAsia"/>
          <w:sz w:val="28"/>
          <w:szCs w:val="28"/>
        </w:rPr>
        <w:t>数</w:t>
      </w:r>
      <w:r w:rsidRPr="002365A9">
        <w:rPr>
          <w:rFonts w:ascii="仿宋_GB2312" w:eastAsia="仿宋_GB2312" w:hAnsi="仿宋" w:hint="eastAsia"/>
          <w:sz w:val="28"/>
          <w:szCs w:val="28"/>
        </w:rPr>
        <w:t>据库、</w:t>
      </w:r>
      <w:r>
        <w:rPr>
          <w:rFonts w:ascii="仿宋_GB2312" w:eastAsia="仿宋_GB2312" w:hAnsi="仿宋" w:hint="eastAsia"/>
          <w:sz w:val="28"/>
          <w:szCs w:val="28"/>
        </w:rPr>
        <w:t>国内外</w:t>
      </w:r>
      <w:r w:rsidRPr="002365A9">
        <w:rPr>
          <w:rFonts w:ascii="仿宋_GB2312" w:eastAsia="仿宋_GB2312" w:hAnsi="仿宋" w:hint="eastAsia"/>
          <w:sz w:val="28"/>
          <w:szCs w:val="28"/>
        </w:rPr>
        <w:t>文献、</w:t>
      </w:r>
      <w:r>
        <w:rPr>
          <w:rFonts w:ascii="仿宋_GB2312" w:eastAsia="仿宋_GB2312" w:hAnsi="仿宋" w:hint="eastAsia"/>
          <w:sz w:val="28"/>
          <w:szCs w:val="28"/>
        </w:rPr>
        <w:t>研究</w:t>
      </w:r>
      <w:r w:rsidR="001A12B7">
        <w:rPr>
          <w:rFonts w:ascii="仿宋_GB2312" w:eastAsia="仿宋_GB2312" w:hAnsi="仿宋" w:hint="eastAsia"/>
          <w:sz w:val="28"/>
          <w:szCs w:val="28"/>
        </w:rPr>
        <w:t>与调查</w:t>
      </w:r>
      <w:r w:rsidR="00E63D88">
        <w:rPr>
          <w:rFonts w:ascii="仿宋_GB2312" w:eastAsia="仿宋_GB2312" w:hAnsi="仿宋" w:hint="eastAsia"/>
          <w:sz w:val="28"/>
          <w:szCs w:val="28"/>
        </w:rPr>
        <w:t>等）或类型（如</w:t>
      </w:r>
      <w:r>
        <w:rPr>
          <w:rFonts w:ascii="仿宋_GB2312" w:eastAsia="仿宋_GB2312" w:hAnsi="仿宋" w:hint="eastAsia"/>
          <w:sz w:val="28"/>
          <w:szCs w:val="28"/>
        </w:rPr>
        <w:t>病例</w:t>
      </w:r>
      <w:r w:rsidR="00E63D88">
        <w:rPr>
          <w:rFonts w:ascii="仿宋_GB2312" w:eastAsia="仿宋_GB2312" w:hAnsi="仿宋" w:hint="eastAsia"/>
          <w:sz w:val="28"/>
          <w:szCs w:val="28"/>
        </w:rPr>
        <w:t>分析</w:t>
      </w:r>
      <w:r>
        <w:rPr>
          <w:rFonts w:ascii="仿宋_GB2312" w:eastAsia="仿宋_GB2312" w:hAnsi="仿宋" w:hint="eastAsia"/>
          <w:sz w:val="28"/>
          <w:szCs w:val="28"/>
        </w:rPr>
        <w:t>、流行病学研究、专家经验等）</w:t>
      </w:r>
      <w:r w:rsidRPr="002365A9">
        <w:rPr>
          <w:rFonts w:ascii="仿宋_GB2312" w:eastAsia="仿宋_GB2312" w:hAnsi="仿宋" w:hint="eastAsia"/>
          <w:sz w:val="28"/>
          <w:szCs w:val="28"/>
        </w:rPr>
        <w:t>呈现。一般情况下，</w:t>
      </w:r>
      <w:r>
        <w:rPr>
          <w:rFonts w:ascii="仿宋_GB2312" w:eastAsia="仿宋_GB2312" w:hAnsi="仿宋" w:hint="eastAsia"/>
          <w:sz w:val="28"/>
          <w:szCs w:val="28"/>
        </w:rPr>
        <w:t>在</w:t>
      </w:r>
      <w:r w:rsidR="001A12B7">
        <w:rPr>
          <w:rFonts w:ascii="仿宋_GB2312" w:eastAsia="仿宋_GB2312" w:hAnsi="仿宋" w:hint="eastAsia"/>
          <w:sz w:val="28"/>
          <w:szCs w:val="28"/>
        </w:rPr>
        <w:t>各类证据资料（包括统计分析数据</w:t>
      </w:r>
      <w:r w:rsidRPr="002365A9">
        <w:rPr>
          <w:rFonts w:ascii="仿宋_GB2312" w:eastAsia="仿宋_GB2312" w:hAnsi="仿宋" w:hint="eastAsia"/>
          <w:sz w:val="28"/>
          <w:szCs w:val="28"/>
        </w:rPr>
        <w:t>）后</w:t>
      </w:r>
      <w:r>
        <w:rPr>
          <w:rFonts w:ascii="仿宋_GB2312" w:eastAsia="仿宋_GB2312" w:hAnsi="仿宋" w:hint="eastAsia"/>
          <w:sz w:val="28"/>
          <w:szCs w:val="28"/>
        </w:rPr>
        <w:t>面</w:t>
      </w:r>
      <w:r w:rsidRPr="002365A9">
        <w:rPr>
          <w:rFonts w:ascii="仿宋_GB2312" w:eastAsia="仿宋_GB2312" w:hAnsi="仿宋" w:hint="eastAsia"/>
          <w:sz w:val="28"/>
          <w:szCs w:val="28"/>
        </w:rPr>
        <w:t>应当有简明的评述，表明</w:t>
      </w:r>
      <w:r>
        <w:rPr>
          <w:rFonts w:ascii="仿宋_GB2312" w:eastAsia="仿宋_GB2312" w:hAnsi="仿宋" w:hint="eastAsia"/>
          <w:sz w:val="28"/>
          <w:szCs w:val="28"/>
        </w:rPr>
        <w:t>分析的结果或评价人员的观点</w:t>
      </w:r>
      <w:r w:rsidRPr="002365A9">
        <w:rPr>
          <w:rFonts w:ascii="仿宋_GB2312" w:eastAsia="仿宋_GB2312" w:hAnsi="仿宋" w:hint="eastAsia"/>
          <w:sz w:val="28"/>
          <w:szCs w:val="28"/>
        </w:rPr>
        <w:t>。</w:t>
      </w:r>
      <w:r w:rsidR="001457EA">
        <w:rPr>
          <w:rFonts w:ascii="仿宋_GB2312" w:eastAsia="仿宋_GB2312" w:hAnsi="仿宋" w:hint="eastAsia"/>
          <w:sz w:val="28"/>
          <w:szCs w:val="28"/>
        </w:rPr>
        <w:t>如果需要对获益进行分析</w:t>
      </w:r>
      <w:r w:rsidR="006230C9">
        <w:rPr>
          <w:rFonts w:ascii="仿宋_GB2312" w:eastAsia="仿宋_GB2312" w:hAnsi="仿宋" w:hint="eastAsia"/>
          <w:sz w:val="28"/>
          <w:szCs w:val="28"/>
        </w:rPr>
        <w:t>，</w:t>
      </w:r>
      <w:r w:rsidR="00015102">
        <w:rPr>
          <w:rFonts w:ascii="仿宋_GB2312" w:eastAsia="仿宋_GB2312" w:hAnsi="仿宋" w:hint="eastAsia"/>
          <w:sz w:val="28"/>
          <w:szCs w:val="28"/>
        </w:rPr>
        <w:t>应</w:t>
      </w:r>
      <w:r>
        <w:rPr>
          <w:rFonts w:ascii="仿宋_GB2312" w:eastAsia="仿宋_GB2312" w:hAnsi="仿宋" w:hint="eastAsia"/>
          <w:sz w:val="28"/>
          <w:szCs w:val="28"/>
        </w:rPr>
        <w:t>当放在安全性</w:t>
      </w:r>
      <w:r w:rsidR="001A12B7">
        <w:rPr>
          <w:rFonts w:ascii="仿宋_GB2312" w:eastAsia="仿宋_GB2312" w:hAnsi="仿宋" w:hint="eastAsia"/>
          <w:sz w:val="28"/>
          <w:szCs w:val="28"/>
        </w:rPr>
        <w:t>分析</w:t>
      </w:r>
      <w:r>
        <w:rPr>
          <w:rFonts w:ascii="仿宋_GB2312" w:eastAsia="仿宋_GB2312" w:hAnsi="仿宋" w:hint="eastAsia"/>
          <w:sz w:val="28"/>
          <w:szCs w:val="28"/>
        </w:rPr>
        <w:t>后面。</w:t>
      </w:r>
    </w:p>
    <w:p w14:paraId="7C2C2333" w14:textId="35388F9E" w:rsidR="00D8406E" w:rsidRDefault="005507AE" w:rsidP="00D8406E">
      <w:pPr>
        <w:spacing w:line="540" w:lineRule="exact"/>
        <w:ind w:firstLineChars="200" w:firstLine="600"/>
        <w:rPr>
          <w:rFonts w:ascii="仿宋_GB2312" w:eastAsia="仿宋_GB2312" w:hAnsi="仿宋"/>
          <w:sz w:val="28"/>
          <w:szCs w:val="28"/>
        </w:rPr>
      </w:pPr>
      <w:r w:rsidRPr="001C42C2">
        <w:rPr>
          <w:rFonts w:ascii="仿宋" w:eastAsia="仿宋" w:hAnsi="仿宋" w:hint="eastAsia"/>
          <w:sz w:val="30"/>
          <w:szCs w:val="30"/>
        </w:rPr>
        <w:t>对于文献</w:t>
      </w:r>
      <w:r w:rsidR="005F44AD">
        <w:rPr>
          <w:rFonts w:ascii="仿宋" w:eastAsia="仿宋" w:hAnsi="仿宋" w:hint="eastAsia"/>
          <w:sz w:val="30"/>
          <w:szCs w:val="30"/>
        </w:rPr>
        <w:t>评价</w:t>
      </w:r>
      <w:r w:rsidRPr="001C42C2">
        <w:rPr>
          <w:rFonts w:ascii="仿宋" w:eastAsia="仿宋" w:hAnsi="仿宋" w:hint="eastAsia"/>
          <w:sz w:val="30"/>
          <w:szCs w:val="30"/>
        </w:rPr>
        <w:t>，报告中</w:t>
      </w:r>
      <w:r w:rsidR="00930C53" w:rsidRPr="001C42C2">
        <w:rPr>
          <w:rFonts w:ascii="仿宋" w:eastAsia="仿宋" w:hAnsi="仿宋" w:hint="eastAsia"/>
          <w:sz w:val="30"/>
          <w:szCs w:val="30"/>
        </w:rPr>
        <w:t>应</w:t>
      </w:r>
      <w:r w:rsidR="00F16968" w:rsidRPr="001C42C2">
        <w:rPr>
          <w:rFonts w:ascii="仿宋" w:eastAsia="仿宋" w:hAnsi="仿宋" w:hint="eastAsia"/>
          <w:sz w:val="30"/>
          <w:szCs w:val="30"/>
        </w:rPr>
        <w:t>说明文献</w:t>
      </w:r>
      <w:r w:rsidR="00523AD1">
        <w:rPr>
          <w:rFonts w:ascii="仿宋" w:eastAsia="仿宋" w:hAnsi="仿宋" w:hint="eastAsia"/>
          <w:sz w:val="30"/>
          <w:szCs w:val="30"/>
        </w:rPr>
        <w:t>的检索策略（数据库</w:t>
      </w:r>
      <w:r w:rsidR="00F16968" w:rsidRPr="001C42C2">
        <w:rPr>
          <w:rFonts w:ascii="仿宋" w:eastAsia="仿宋" w:hAnsi="仿宋" w:hint="eastAsia"/>
          <w:sz w:val="30"/>
          <w:szCs w:val="30"/>
        </w:rPr>
        <w:t>、检索</w:t>
      </w:r>
      <w:r w:rsidR="00523AD1">
        <w:rPr>
          <w:rFonts w:ascii="仿宋" w:eastAsia="仿宋" w:hAnsi="仿宋" w:hint="eastAsia"/>
          <w:sz w:val="30"/>
          <w:szCs w:val="30"/>
        </w:rPr>
        <w:t>时间</w:t>
      </w:r>
      <w:r w:rsidR="00930C53" w:rsidRPr="001C42C2">
        <w:rPr>
          <w:rFonts w:ascii="仿宋" w:eastAsia="仿宋" w:hAnsi="仿宋" w:hint="eastAsia"/>
          <w:sz w:val="30"/>
          <w:szCs w:val="30"/>
        </w:rPr>
        <w:t>范围、检索</w:t>
      </w:r>
      <w:r w:rsidR="00523AD1">
        <w:rPr>
          <w:rFonts w:ascii="仿宋" w:eastAsia="仿宋" w:hAnsi="仿宋" w:hint="eastAsia"/>
          <w:sz w:val="30"/>
          <w:szCs w:val="30"/>
        </w:rPr>
        <w:t>词和检索式等，</w:t>
      </w:r>
      <w:r w:rsidR="00F16968" w:rsidRPr="001C42C2">
        <w:rPr>
          <w:rFonts w:ascii="仿宋" w:eastAsia="仿宋" w:hAnsi="仿宋" w:hint="eastAsia"/>
          <w:sz w:val="30"/>
          <w:szCs w:val="30"/>
        </w:rPr>
        <w:t>可作为附件）</w:t>
      </w:r>
      <w:r w:rsidR="00930C53" w:rsidRPr="001C42C2">
        <w:rPr>
          <w:rFonts w:ascii="仿宋" w:eastAsia="仿宋" w:hAnsi="仿宋" w:hint="eastAsia"/>
          <w:sz w:val="30"/>
          <w:szCs w:val="30"/>
        </w:rPr>
        <w:t>、</w:t>
      </w:r>
      <w:proofErr w:type="gramStart"/>
      <w:r w:rsidR="00F16968" w:rsidRPr="001C42C2">
        <w:rPr>
          <w:rFonts w:ascii="仿宋" w:eastAsia="仿宋" w:hAnsi="仿宋" w:hint="eastAsia"/>
          <w:sz w:val="30"/>
          <w:szCs w:val="30"/>
        </w:rPr>
        <w:t>纳</w:t>
      </w:r>
      <w:r w:rsidR="005F44AD">
        <w:rPr>
          <w:rFonts w:ascii="仿宋" w:eastAsia="仿宋" w:hAnsi="仿宋" w:hint="eastAsia"/>
          <w:sz w:val="30"/>
          <w:szCs w:val="30"/>
        </w:rPr>
        <w:t>排</w:t>
      </w:r>
      <w:r w:rsidRPr="001C42C2">
        <w:rPr>
          <w:rFonts w:ascii="仿宋" w:eastAsia="仿宋" w:hAnsi="仿宋" w:hint="eastAsia"/>
          <w:sz w:val="30"/>
          <w:szCs w:val="30"/>
        </w:rPr>
        <w:t>标准</w:t>
      </w:r>
      <w:proofErr w:type="gramEnd"/>
      <w:r w:rsidR="001C42C2">
        <w:rPr>
          <w:rFonts w:ascii="仿宋" w:eastAsia="仿宋" w:hAnsi="仿宋" w:hint="eastAsia"/>
          <w:sz w:val="30"/>
          <w:szCs w:val="30"/>
        </w:rPr>
        <w:t>、</w:t>
      </w:r>
      <w:r w:rsidRPr="001C42C2">
        <w:rPr>
          <w:rFonts w:ascii="仿宋" w:eastAsia="仿宋" w:hAnsi="仿宋" w:hint="eastAsia"/>
          <w:sz w:val="30"/>
          <w:szCs w:val="30"/>
        </w:rPr>
        <w:t>纳入文献类型及数量，并对文献进行详细分析</w:t>
      </w:r>
      <w:r w:rsidRPr="00D027B5">
        <w:rPr>
          <w:rFonts w:ascii="仿宋" w:eastAsia="仿宋" w:hAnsi="仿宋" w:hint="eastAsia"/>
          <w:sz w:val="30"/>
          <w:szCs w:val="30"/>
        </w:rPr>
        <w:t>。</w:t>
      </w:r>
      <w:r w:rsidR="00D8406E" w:rsidRPr="00D027B5">
        <w:rPr>
          <w:rFonts w:ascii="仿宋_GB2312" w:eastAsia="仿宋_GB2312" w:hAnsi="仿宋" w:hint="eastAsia"/>
          <w:sz w:val="28"/>
          <w:szCs w:val="28"/>
        </w:rPr>
        <w:t>文献分析</w:t>
      </w:r>
      <w:r w:rsidR="00523AD1">
        <w:rPr>
          <w:rFonts w:ascii="仿宋_GB2312" w:eastAsia="仿宋_GB2312" w:hAnsi="仿宋" w:hint="eastAsia"/>
          <w:sz w:val="28"/>
          <w:szCs w:val="28"/>
        </w:rPr>
        <w:t>评价</w:t>
      </w:r>
      <w:r w:rsidR="00D8406E" w:rsidRPr="00D027B5">
        <w:rPr>
          <w:rFonts w:ascii="仿宋_GB2312" w:eastAsia="仿宋_GB2312" w:hAnsi="仿宋" w:hint="eastAsia"/>
          <w:sz w:val="28"/>
          <w:szCs w:val="28"/>
        </w:rPr>
        <w:t>方法</w:t>
      </w:r>
      <w:r w:rsidR="00523AD1">
        <w:rPr>
          <w:rFonts w:ascii="仿宋_GB2312" w:eastAsia="仿宋_GB2312" w:hAnsi="仿宋" w:hint="eastAsia"/>
          <w:sz w:val="28"/>
          <w:szCs w:val="28"/>
        </w:rPr>
        <w:t>应当根据评价的目标和内容、纳入文献的情况来确定，一般</w:t>
      </w:r>
      <w:r w:rsidR="00D8406E" w:rsidRPr="00D027B5">
        <w:rPr>
          <w:rFonts w:ascii="仿宋_GB2312" w:eastAsia="仿宋_GB2312" w:hAnsi="仿宋" w:hint="eastAsia"/>
          <w:sz w:val="28"/>
          <w:szCs w:val="28"/>
        </w:rPr>
        <w:t>包括：描述性分析、系统综述、荟萃分析</w:t>
      </w:r>
      <w:r w:rsidR="00090BDB">
        <w:rPr>
          <w:rFonts w:ascii="仿宋_GB2312" w:eastAsia="仿宋_GB2312" w:hAnsi="仿宋" w:hint="eastAsia"/>
          <w:sz w:val="28"/>
          <w:szCs w:val="28"/>
        </w:rPr>
        <w:t>。</w:t>
      </w:r>
    </w:p>
    <w:p w14:paraId="444F4374" w14:textId="2F6B8852" w:rsidR="00D8406E" w:rsidRDefault="00D8406E" w:rsidP="00D8406E">
      <w:pPr>
        <w:spacing w:line="540" w:lineRule="exact"/>
        <w:ind w:firstLineChars="198" w:firstLine="557"/>
        <w:rPr>
          <w:rFonts w:ascii="仿宋_GB2312" w:eastAsia="仿宋_GB2312" w:hAnsi="仿宋"/>
          <w:sz w:val="28"/>
          <w:szCs w:val="28"/>
        </w:rPr>
      </w:pPr>
      <w:r w:rsidRPr="00404429">
        <w:rPr>
          <w:rFonts w:ascii="仿宋_GB2312" w:eastAsia="仿宋_GB2312" w:hAnsi="仿宋" w:hint="eastAsia"/>
          <w:b/>
          <w:sz w:val="28"/>
          <w:szCs w:val="28"/>
        </w:rPr>
        <w:t>描述性分析</w:t>
      </w:r>
      <w:r>
        <w:rPr>
          <w:rFonts w:ascii="仿宋_GB2312" w:eastAsia="仿宋_GB2312" w:hAnsi="仿宋" w:hint="eastAsia"/>
          <w:sz w:val="28"/>
          <w:szCs w:val="28"/>
        </w:rPr>
        <w:t>是</w:t>
      </w:r>
      <w:r w:rsidR="00FB6A1A">
        <w:rPr>
          <w:rFonts w:ascii="仿宋_GB2312" w:eastAsia="仿宋_GB2312" w:hAnsi="仿宋" w:hint="eastAsia"/>
          <w:sz w:val="28"/>
          <w:szCs w:val="28"/>
        </w:rPr>
        <w:t>对筛选出的文献逐篇审阅后，</w:t>
      </w:r>
      <w:r>
        <w:rPr>
          <w:rFonts w:ascii="仿宋_GB2312" w:eastAsia="仿宋_GB2312" w:hAnsi="仿宋" w:hint="eastAsia"/>
          <w:sz w:val="28"/>
          <w:szCs w:val="28"/>
        </w:rPr>
        <w:t>对</w:t>
      </w:r>
      <w:r w:rsidR="00FB6A1A">
        <w:rPr>
          <w:rFonts w:ascii="仿宋_GB2312" w:eastAsia="仿宋_GB2312" w:hAnsi="仿宋" w:hint="eastAsia"/>
          <w:sz w:val="28"/>
          <w:szCs w:val="28"/>
        </w:rPr>
        <w:t>审阅</w:t>
      </w:r>
      <w:r>
        <w:rPr>
          <w:rFonts w:ascii="仿宋_GB2312" w:eastAsia="仿宋_GB2312" w:hAnsi="仿宋" w:hint="eastAsia"/>
          <w:sz w:val="28"/>
          <w:szCs w:val="28"/>
        </w:rPr>
        <w:t>结果进行</w:t>
      </w:r>
      <w:r w:rsidR="00FB6A1A">
        <w:rPr>
          <w:rFonts w:ascii="仿宋_GB2312" w:eastAsia="仿宋_GB2312" w:hAnsi="仿宋" w:hint="eastAsia"/>
          <w:sz w:val="28"/>
          <w:szCs w:val="28"/>
        </w:rPr>
        <w:t>简单的汇总和</w:t>
      </w:r>
      <w:r w:rsidR="00523AD1">
        <w:rPr>
          <w:rFonts w:ascii="仿宋_GB2312" w:eastAsia="仿宋_GB2312" w:hAnsi="仿宋" w:hint="eastAsia"/>
          <w:sz w:val="28"/>
          <w:szCs w:val="28"/>
        </w:rPr>
        <w:t>描述</w:t>
      </w:r>
      <w:r w:rsidR="005F44AD">
        <w:rPr>
          <w:rFonts w:ascii="仿宋_GB2312" w:eastAsia="仿宋_GB2312" w:hAnsi="仿宋" w:hint="eastAsia"/>
          <w:sz w:val="28"/>
          <w:szCs w:val="28"/>
        </w:rPr>
        <w:t>的方法。可以按照文献类型（如个</w:t>
      </w:r>
      <w:r w:rsidR="00FB6A1A">
        <w:rPr>
          <w:rFonts w:ascii="仿宋_GB2312" w:eastAsia="仿宋_GB2312" w:hAnsi="仿宋" w:hint="eastAsia"/>
          <w:sz w:val="28"/>
          <w:szCs w:val="28"/>
        </w:rPr>
        <w:t>案报道、临床观察、</w:t>
      </w:r>
      <w:r w:rsidR="00636333">
        <w:rPr>
          <w:rFonts w:ascii="仿宋_GB2312" w:eastAsia="仿宋_GB2312" w:hAnsi="仿宋" w:hint="eastAsia"/>
          <w:sz w:val="28"/>
          <w:szCs w:val="28"/>
        </w:rPr>
        <w:t>其他</w:t>
      </w:r>
      <w:r w:rsidR="00FB6A1A">
        <w:rPr>
          <w:rFonts w:ascii="仿宋_GB2312" w:eastAsia="仿宋_GB2312" w:hAnsi="仿宋" w:hint="eastAsia"/>
          <w:sz w:val="28"/>
          <w:szCs w:val="28"/>
        </w:rPr>
        <w:t>流行病学研究）</w:t>
      </w:r>
      <w:r w:rsidR="00523AD1">
        <w:rPr>
          <w:rFonts w:ascii="仿宋_GB2312" w:eastAsia="仿宋_GB2312" w:hAnsi="仿宋" w:hint="eastAsia"/>
          <w:sz w:val="28"/>
          <w:szCs w:val="28"/>
        </w:rPr>
        <w:t>进行描述</w:t>
      </w:r>
      <w:r>
        <w:rPr>
          <w:rFonts w:ascii="仿宋_GB2312" w:eastAsia="仿宋_GB2312" w:hAnsi="仿宋" w:hint="eastAsia"/>
          <w:sz w:val="28"/>
          <w:szCs w:val="28"/>
        </w:rPr>
        <w:t>。对于关键的研究证据，应当对单个研究进行具体描述，包括研究目地、方法、结果和结论。</w:t>
      </w:r>
    </w:p>
    <w:p w14:paraId="2FDB9095" w14:textId="01CF2EB4" w:rsidR="00D8406E" w:rsidRPr="00180918" w:rsidRDefault="00D8406E" w:rsidP="00D8406E">
      <w:pPr>
        <w:spacing w:line="540" w:lineRule="exact"/>
        <w:ind w:firstLineChars="202" w:firstLine="568"/>
        <w:rPr>
          <w:rFonts w:ascii="仿宋_GB2312" w:eastAsia="仿宋_GB2312" w:hAnsi="仿宋"/>
          <w:sz w:val="28"/>
          <w:szCs w:val="28"/>
        </w:rPr>
      </w:pPr>
      <w:r w:rsidRPr="007432D4">
        <w:rPr>
          <w:rFonts w:ascii="仿宋_GB2312" w:eastAsia="仿宋_GB2312" w:hAnsi="仿宋" w:hint="eastAsia"/>
          <w:b/>
          <w:sz w:val="28"/>
          <w:szCs w:val="28"/>
        </w:rPr>
        <w:t>系统综述</w:t>
      </w:r>
      <w:r w:rsidRPr="00180918">
        <w:rPr>
          <w:rFonts w:ascii="仿宋_GB2312" w:eastAsia="仿宋_GB2312" w:hAnsi="仿宋" w:hint="eastAsia"/>
          <w:sz w:val="28"/>
          <w:szCs w:val="28"/>
        </w:rPr>
        <w:t>是</w:t>
      </w:r>
      <w:proofErr w:type="gramStart"/>
      <w:r w:rsidRPr="00180918">
        <w:rPr>
          <w:rFonts w:ascii="仿宋_GB2312" w:eastAsia="仿宋_GB2312" w:hAnsi="仿宋" w:hint="eastAsia"/>
          <w:sz w:val="28"/>
          <w:szCs w:val="28"/>
        </w:rPr>
        <w:t>循证学</w:t>
      </w:r>
      <w:r>
        <w:rPr>
          <w:rFonts w:ascii="仿宋_GB2312" w:eastAsia="仿宋_GB2312" w:hAnsi="仿宋" w:hint="eastAsia"/>
          <w:sz w:val="28"/>
          <w:szCs w:val="28"/>
        </w:rPr>
        <w:t>的</w:t>
      </w:r>
      <w:proofErr w:type="gramEnd"/>
      <w:r w:rsidRPr="00180918">
        <w:rPr>
          <w:rFonts w:ascii="仿宋_GB2312" w:eastAsia="仿宋_GB2312" w:hAnsi="仿宋" w:hint="eastAsia"/>
          <w:sz w:val="28"/>
          <w:szCs w:val="28"/>
        </w:rPr>
        <w:t>一种方</w:t>
      </w:r>
      <w:r>
        <w:rPr>
          <w:rFonts w:ascii="仿宋_GB2312" w:eastAsia="仿宋_GB2312" w:hAnsi="仿宋" w:hint="eastAsia"/>
          <w:sz w:val="28"/>
          <w:szCs w:val="28"/>
        </w:rPr>
        <w:t>法，</w:t>
      </w:r>
      <w:r w:rsidRPr="00180918">
        <w:rPr>
          <w:rFonts w:ascii="仿宋_GB2312" w:eastAsia="仿宋_GB2312" w:hAnsi="仿宋"/>
          <w:sz w:val="28"/>
          <w:szCs w:val="28"/>
        </w:rPr>
        <w:t>是指对研究问题进行结构化的清楚定义，运用系统和明确的方法对相关研究进行检索、选择以及严格地评价，对所纳入研究的数据进行收集</w:t>
      </w:r>
      <w:r w:rsidR="006B28DF">
        <w:rPr>
          <w:rFonts w:ascii="仿宋_GB2312" w:eastAsia="仿宋_GB2312" w:hAnsi="仿宋" w:hint="eastAsia"/>
          <w:sz w:val="28"/>
          <w:szCs w:val="28"/>
        </w:rPr>
        <w:t>、</w:t>
      </w:r>
      <w:r w:rsidR="006B28DF">
        <w:rPr>
          <w:rFonts w:ascii="仿宋_GB2312" w:eastAsia="仿宋_GB2312" w:hAnsi="仿宋" w:hint="eastAsia"/>
          <w:kern w:val="0"/>
          <w:sz w:val="28"/>
          <w:szCs w:val="28"/>
        </w:rPr>
        <w:t>质量评价</w:t>
      </w:r>
      <w:r w:rsidRPr="00180918">
        <w:rPr>
          <w:rFonts w:ascii="仿宋_GB2312" w:eastAsia="仿宋_GB2312" w:hAnsi="仿宋"/>
          <w:sz w:val="28"/>
          <w:szCs w:val="28"/>
        </w:rPr>
        <w:t>和分析，并进一步讨论总结形成的综述</w:t>
      </w:r>
      <w:r>
        <w:rPr>
          <w:rFonts w:ascii="仿宋_GB2312" w:eastAsia="仿宋_GB2312" w:hAnsi="仿宋" w:hint="eastAsia"/>
          <w:sz w:val="28"/>
          <w:szCs w:val="28"/>
        </w:rPr>
        <w:t>。</w:t>
      </w:r>
    </w:p>
    <w:p w14:paraId="211A0E26" w14:textId="55DCE191" w:rsidR="00D8406E" w:rsidRDefault="00D8406E" w:rsidP="00D8406E">
      <w:pPr>
        <w:spacing w:line="540" w:lineRule="exact"/>
        <w:ind w:firstLineChars="202" w:firstLine="568"/>
        <w:rPr>
          <w:rFonts w:ascii="仿宋_GB2312" w:eastAsia="仿宋_GB2312" w:hAnsi="仿宋"/>
          <w:sz w:val="28"/>
          <w:szCs w:val="28"/>
        </w:rPr>
      </w:pPr>
      <w:r w:rsidRPr="007432D4">
        <w:rPr>
          <w:rFonts w:ascii="仿宋_GB2312" w:eastAsia="仿宋_GB2312" w:hAnsi="仿宋" w:hint="eastAsia"/>
          <w:b/>
          <w:sz w:val="28"/>
          <w:szCs w:val="28"/>
        </w:rPr>
        <w:t>荟萃分析</w:t>
      </w:r>
      <w:r>
        <w:rPr>
          <w:rFonts w:ascii="仿宋_GB2312" w:eastAsia="仿宋_GB2312" w:hAnsi="仿宋" w:hint="eastAsia"/>
          <w:sz w:val="28"/>
          <w:szCs w:val="28"/>
        </w:rPr>
        <w:t>又称</w:t>
      </w:r>
      <w:r w:rsidR="00B42173">
        <w:rPr>
          <w:rFonts w:ascii="仿宋_GB2312" w:eastAsia="仿宋_GB2312" w:hAnsi="仿宋" w:hint="eastAsia"/>
          <w:sz w:val="28"/>
          <w:szCs w:val="28"/>
        </w:rPr>
        <w:t>M</w:t>
      </w:r>
      <w:r>
        <w:rPr>
          <w:rFonts w:ascii="仿宋_GB2312" w:eastAsia="仿宋_GB2312" w:hAnsi="仿宋" w:hint="eastAsia"/>
          <w:sz w:val="28"/>
          <w:szCs w:val="28"/>
        </w:rPr>
        <w:t>eta分析，</w:t>
      </w:r>
      <w:r w:rsidRPr="00052527">
        <w:rPr>
          <w:rFonts w:ascii="仿宋_GB2312" w:eastAsia="仿宋_GB2312" w:hAnsi="仿宋" w:hint="eastAsia"/>
          <w:sz w:val="28"/>
          <w:szCs w:val="28"/>
        </w:rPr>
        <w:t>是指在系统综述中定量合并所纳入研究结果的一种统计学方法</w:t>
      </w:r>
      <w:r w:rsidR="001C42C2">
        <w:rPr>
          <w:rFonts w:ascii="仿宋_GB2312" w:eastAsia="仿宋_GB2312" w:hAnsi="仿宋" w:hint="eastAsia"/>
          <w:sz w:val="28"/>
          <w:szCs w:val="28"/>
        </w:rPr>
        <w:t>（即</w:t>
      </w:r>
      <w:r w:rsidR="001C42C2" w:rsidRPr="001C42C2">
        <w:rPr>
          <w:rFonts w:ascii="仿宋_GB2312" w:eastAsia="仿宋_GB2312" w:hAnsi="仿宋" w:hint="eastAsia"/>
          <w:sz w:val="28"/>
          <w:szCs w:val="28"/>
        </w:rPr>
        <w:t>将</w:t>
      </w:r>
      <w:r w:rsidR="00F40B5A">
        <w:rPr>
          <w:rFonts w:ascii="仿宋_GB2312" w:eastAsia="仿宋_GB2312" w:hAnsi="仿宋" w:hint="eastAsia"/>
          <w:sz w:val="28"/>
          <w:szCs w:val="28"/>
        </w:rPr>
        <w:t>多个研究结果整合在一起分析</w:t>
      </w:r>
      <w:r w:rsidR="001C42C2">
        <w:rPr>
          <w:rFonts w:ascii="仿宋_GB2312" w:eastAsia="仿宋_GB2312" w:hAnsi="仿宋" w:hint="eastAsia"/>
          <w:sz w:val="28"/>
          <w:szCs w:val="28"/>
        </w:rPr>
        <w:t>）</w:t>
      </w:r>
      <w:r w:rsidRPr="00052527">
        <w:rPr>
          <w:rFonts w:ascii="仿宋_GB2312" w:eastAsia="仿宋_GB2312" w:hAnsi="仿宋" w:hint="eastAsia"/>
          <w:sz w:val="28"/>
          <w:szCs w:val="28"/>
        </w:rPr>
        <w:t>。</w:t>
      </w:r>
      <w:r w:rsidR="001C42C2" w:rsidRPr="00052527">
        <w:rPr>
          <w:rFonts w:ascii="仿宋_GB2312" w:eastAsia="仿宋_GB2312" w:hAnsi="仿宋" w:hint="eastAsia"/>
          <w:sz w:val="28"/>
          <w:szCs w:val="28"/>
        </w:rPr>
        <w:t>采</w:t>
      </w:r>
      <w:r w:rsidR="001C42C2" w:rsidRPr="00052527">
        <w:rPr>
          <w:rFonts w:ascii="仿宋_GB2312" w:eastAsia="仿宋_GB2312" w:hAnsi="仿宋" w:hint="eastAsia"/>
          <w:sz w:val="28"/>
          <w:szCs w:val="28"/>
        </w:rPr>
        <w:lastRenderedPageBreak/>
        <w:t>用</w:t>
      </w:r>
      <w:r w:rsidR="00B42173">
        <w:rPr>
          <w:rFonts w:ascii="仿宋_GB2312" w:eastAsia="仿宋_GB2312" w:hAnsi="仿宋" w:hint="eastAsia"/>
          <w:sz w:val="28"/>
          <w:szCs w:val="28"/>
        </w:rPr>
        <w:t>M</w:t>
      </w:r>
      <w:r w:rsidR="001C42C2" w:rsidRPr="00052527">
        <w:rPr>
          <w:rFonts w:ascii="仿宋_GB2312" w:eastAsia="仿宋_GB2312" w:hAnsi="仿宋"/>
          <w:sz w:val="28"/>
          <w:szCs w:val="28"/>
        </w:rPr>
        <w:t>eta 分析可能得到接近真实情况的统计分析结果</w:t>
      </w:r>
      <w:r w:rsidR="00F40B5A">
        <w:rPr>
          <w:rFonts w:ascii="仿宋_GB2312" w:eastAsia="仿宋_GB2312" w:hAnsi="仿宋" w:hint="eastAsia"/>
          <w:sz w:val="28"/>
          <w:szCs w:val="28"/>
        </w:rPr>
        <w:t>，</w:t>
      </w:r>
      <w:r w:rsidR="001C42C2">
        <w:rPr>
          <w:rFonts w:ascii="仿宋_GB2312" w:eastAsia="仿宋_GB2312" w:hAnsi="仿宋" w:hint="eastAsia"/>
          <w:sz w:val="28"/>
          <w:szCs w:val="28"/>
        </w:rPr>
        <w:t>尤其是</w:t>
      </w:r>
      <w:r w:rsidRPr="00052527">
        <w:rPr>
          <w:rFonts w:ascii="仿宋_GB2312" w:eastAsia="仿宋_GB2312" w:hAnsi="仿宋" w:hint="eastAsia"/>
          <w:sz w:val="28"/>
          <w:szCs w:val="28"/>
        </w:rPr>
        <w:t>多个研究结果不一致或</w:t>
      </w:r>
      <w:r w:rsidR="00B42173">
        <w:rPr>
          <w:rFonts w:ascii="仿宋_GB2312" w:eastAsia="仿宋_GB2312" w:hAnsi="仿宋" w:hint="eastAsia"/>
          <w:sz w:val="28"/>
          <w:szCs w:val="28"/>
        </w:rPr>
        <w:t>均</w:t>
      </w:r>
      <w:r w:rsidRPr="00052527">
        <w:rPr>
          <w:rFonts w:ascii="仿宋_GB2312" w:eastAsia="仿宋_GB2312" w:hAnsi="仿宋" w:hint="eastAsia"/>
          <w:sz w:val="28"/>
          <w:szCs w:val="28"/>
        </w:rPr>
        <w:t>无统计学意义时</w:t>
      </w:r>
      <w:r w:rsidRPr="00052527">
        <w:rPr>
          <w:rFonts w:ascii="仿宋_GB2312" w:eastAsia="仿宋_GB2312" w:hAnsi="仿宋"/>
          <w:sz w:val="28"/>
          <w:szCs w:val="28"/>
        </w:rPr>
        <w:t>。</w:t>
      </w:r>
      <w:r w:rsidR="00F40B5A" w:rsidRPr="00F40B5A">
        <w:rPr>
          <w:rFonts w:ascii="仿宋_GB2312" w:eastAsia="仿宋_GB2312" w:hAnsi="仿宋"/>
          <w:sz w:val="28"/>
          <w:szCs w:val="28"/>
        </w:rPr>
        <w:t>若原始研究异质性较大，需采用亚组分析或</w:t>
      </w:r>
      <w:r w:rsidR="00B42173">
        <w:rPr>
          <w:rFonts w:ascii="仿宋_GB2312" w:eastAsia="仿宋_GB2312" w:hAnsi="仿宋" w:hint="eastAsia"/>
          <w:sz w:val="28"/>
          <w:szCs w:val="28"/>
        </w:rPr>
        <w:t>M</w:t>
      </w:r>
      <w:r w:rsidR="00F40B5A" w:rsidRPr="00F40B5A">
        <w:rPr>
          <w:rFonts w:ascii="仿宋_GB2312" w:eastAsia="仿宋_GB2312" w:hAnsi="仿宋"/>
          <w:sz w:val="28"/>
          <w:szCs w:val="28"/>
        </w:rPr>
        <w:t>eta回归等方法处理。</w:t>
      </w:r>
      <w:r w:rsidR="00DF47F9">
        <w:rPr>
          <w:rFonts w:ascii="仿宋_GB2312" w:eastAsia="仿宋_GB2312" w:hAnsi="仿宋" w:hint="eastAsia"/>
          <w:sz w:val="28"/>
          <w:szCs w:val="28"/>
        </w:rPr>
        <w:t>所有纳入的研究需</w:t>
      </w:r>
      <w:r w:rsidR="00942C62">
        <w:rPr>
          <w:rFonts w:ascii="仿宋_GB2312" w:eastAsia="仿宋_GB2312" w:hAnsi="仿宋" w:hint="eastAsia"/>
          <w:sz w:val="28"/>
          <w:szCs w:val="28"/>
        </w:rPr>
        <w:t>要</w:t>
      </w:r>
      <w:r w:rsidR="00DF47F9">
        <w:rPr>
          <w:rFonts w:ascii="仿宋_GB2312" w:eastAsia="仿宋_GB2312" w:hAnsi="仿宋" w:hint="eastAsia"/>
          <w:sz w:val="28"/>
          <w:szCs w:val="28"/>
        </w:rPr>
        <w:t>进行偏倚风险评价，若原始研究质量不高时，将影响Meta分析结果的可靠性。</w:t>
      </w:r>
      <w:r w:rsidR="00DF47F9" w:rsidRPr="00E5228A">
        <w:rPr>
          <w:rFonts w:ascii="仿宋_GB2312" w:eastAsia="仿宋_GB2312" w:hAnsi="仿宋" w:hint="eastAsia"/>
          <w:sz w:val="28"/>
          <w:szCs w:val="28"/>
        </w:rPr>
        <w:t>针对</w:t>
      </w:r>
      <w:r w:rsidR="00B42173" w:rsidRPr="00E5228A">
        <w:rPr>
          <w:rFonts w:ascii="仿宋_GB2312" w:eastAsia="仿宋_GB2312" w:hAnsi="仿宋" w:hint="eastAsia"/>
          <w:sz w:val="28"/>
          <w:szCs w:val="28"/>
        </w:rPr>
        <w:t>M</w:t>
      </w:r>
      <w:r w:rsidR="00DF47F9" w:rsidRPr="00E5228A">
        <w:rPr>
          <w:rFonts w:ascii="仿宋_GB2312" w:eastAsia="仿宋_GB2312" w:hAnsi="仿宋" w:hint="eastAsia"/>
          <w:sz w:val="28"/>
          <w:szCs w:val="28"/>
        </w:rPr>
        <w:t>eta分析的结果，还需进行证据质量评价，</w:t>
      </w:r>
      <w:r w:rsidR="00942C62" w:rsidRPr="00E5228A">
        <w:rPr>
          <w:rFonts w:ascii="仿宋_GB2312" w:eastAsia="仿宋_GB2312" w:hAnsi="仿宋" w:hint="eastAsia"/>
          <w:sz w:val="28"/>
          <w:szCs w:val="28"/>
        </w:rPr>
        <w:t>如</w:t>
      </w:r>
      <w:r w:rsidR="00DF47F9" w:rsidRPr="00E5228A">
        <w:rPr>
          <w:rFonts w:ascii="仿宋_GB2312" w:eastAsia="仿宋_GB2312" w:hAnsi="仿宋" w:hint="eastAsia"/>
          <w:sz w:val="28"/>
          <w:szCs w:val="28"/>
        </w:rPr>
        <w:t>GRADE系统进行</w:t>
      </w:r>
      <w:r w:rsidR="00DF47F9">
        <w:rPr>
          <w:rFonts w:ascii="仿宋_GB2312" w:eastAsia="仿宋_GB2312" w:hAnsi="仿宋" w:hint="eastAsia"/>
          <w:sz w:val="28"/>
          <w:szCs w:val="28"/>
        </w:rPr>
        <w:t>评价。</w:t>
      </w:r>
    </w:p>
    <w:p w14:paraId="15C6594F" w14:textId="2F07BF0F" w:rsidR="00090BDB" w:rsidRDefault="00090BDB" w:rsidP="00D8406E">
      <w:pPr>
        <w:spacing w:line="540" w:lineRule="exact"/>
        <w:ind w:firstLineChars="202" w:firstLine="566"/>
        <w:rPr>
          <w:rFonts w:ascii="仿宋_GB2312" w:eastAsia="仿宋_GB2312" w:hAnsi="仿宋"/>
          <w:sz w:val="28"/>
          <w:szCs w:val="28"/>
        </w:rPr>
      </w:pPr>
      <w:r w:rsidRPr="00D027B5">
        <w:rPr>
          <w:rFonts w:ascii="仿宋_GB2312" w:eastAsia="仿宋_GB2312" w:hAnsi="仿宋" w:hint="eastAsia"/>
          <w:sz w:val="28"/>
          <w:szCs w:val="28"/>
        </w:rPr>
        <w:t>文献分析</w:t>
      </w:r>
      <w:r>
        <w:rPr>
          <w:rFonts w:ascii="仿宋_GB2312" w:eastAsia="仿宋_GB2312" w:hAnsi="仿宋" w:hint="eastAsia"/>
          <w:sz w:val="28"/>
          <w:szCs w:val="28"/>
        </w:rPr>
        <w:t>评价</w:t>
      </w:r>
      <w:r w:rsidRPr="00D027B5">
        <w:rPr>
          <w:rFonts w:ascii="仿宋_GB2312" w:eastAsia="仿宋_GB2312" w:hAnsi="仿宋" w:hint="eastAsia"/>
          <w:sz w:val="28"/>
          <w:szCs w:val="28"/>
        </w:rPr>
        <w:t>方法</w:t>
      </w:r>
      <w:r>
        <w:rPr>
          <w:rFonts w:ascii="仿宋_GB2312" w:eastAsia="仿宋_GB2312" w:hAnsi="仿宋" w:hint="eastAsia"/>
          <w:sz w:val="28"/>
          <w:szCs w:val="28"/>
        </w:rPr>
        <w:t>参见相关流行病学教材以及《</w:t>
      </w:r>
      <w:r w:rsidRPr="00090BDB">
        <w:rPr>
          <w:rFonts w:ascii="仿宋_GB2312" w:eastAsia="仿宋_GB2312" w:hAnsi="仿宋" w:hint="eastAsia"/>
          <w:sz w:val="28"/>
          <w:szCs w:val="28"/>
        </w:rPr>
        <w:t>上市药品临床安全性文献评价指导原则（试行）</w:t>
      </w:r>
      <w:r>
        <w:rPr>
          <w:rFonts w:ascii="仿宋_GB2312" w:eastAsia="仿宋_GB2312" w:hAnsi="仿宋" w:hint="eastAsia"/>
          <w:sz w:val="28"/>
          <w:szCs w:val="28"/>
        </w:rPr>
        <w:t>》</w:t>
      </w:r>
      <w:r w:rsidRPr="00090BDB">
        <w:rPr>
          <w:rFonts w:ascii="仿宋_GB2312" w:eastAsia="仿宋_GB2312" w:hAnsi="仿宋" w:hint="eastAsia"/>
          <w:sz w:val="28"/>
          <w:szCs w:val="28"/>
        </w:rPr>
        <w:t>（</w:t>
      </w:r>
      <w:r>
        <w:rPr>
          <w:rFonts w:ascii="仿宋_GB2312" w:eastAsia="仿宋_GB2312" w:hAnsi="仿宋" w:hint="eastAsia"/>
          <w:sz w:val="28"/>
          <w:szCs w:val="28"/>
        </w:rPr>
        <w:t>国家药监局</w:t>
      </w:r>
      <w:r w:rsidRPr="00090BDB">
        <w:rPr>
          <w:rFonts w:ascii="仿宋_GB2312" w:eastAsia="仿宋_GB2312" w:hAnsi="仿宋"/>
          <w:sz w:val="28"/>
          <w:szCs w:val="28"/>
        </w:rPr>
        <w:t>2019年第27号）</w:t>
      </w:r>
      <w:r>
        <w:rPr>
          <w:rFonts w:ascii="仿宋_GB2312" w:eastAsia="仿宋_GB2312" w:hAnsi="仿宋" w:hint="eastAsia"/>
          <w:sz w:val="28"/>
          <w:szCs w:val="28"/>
        </w:rPr>
        <w:t>。</w:t>
      </w:r>
    </w:p>
    <w:p w14:paraId="3FE292A6" w14:textId="1AA6BF78" w:rsidR="00C10A5B" w:rsidRPr="00E5228A" w:rsidRDefault="005507AE" w:rsidP="00956DC6">
      <w:pPr>
        <w:pStyle w:val="a7"/>
        <w:numPr>
          <w:ilvl w:val="0"/>
          <w:numId w:val="13"/>
        </w:numPr>
        <w:spacing w:line="540" w:lineRule="exact"/>
        <w:ind w:left="981" w:firstLineChars="0"/>
        <w:outlineLvl w:val="2"/>
        <w:rPr>
          <w:rFonts w:ascii="仿宋_GB2312" w:eastAsia="仿宋_GB2312" w:hAnsi="仿宋"/>
          <w:b/>
          <w:sz w:val="28"/>
          <w:szCs w:val="28"/>
        </w:rPr>
      </w:pPr>
      <w:bookmarkStart w:id="29" w:name="_Toc175040364"/>
      <w:bookmarkStart w:id="30" w:name="_Toc177114425"/>
      <w:r w:rsidRPr="00E5228A">
        <w:rPr>
          <w:rFonts w:ascii="仿宋_GB2312" w:eastAsia="仿宋_GB2312" w:hAnsi="仿宋" w:hint="eastAsia"/>
          <w:b/>
          <w:sz w:val="28"/>
          <w:szCs w:val="28"/>
        </w:rPr>
        <w:t>结果</w:t>
      </w:r>
      <w:r w:rsidR="00C10A5B" w:rsidRPr="00E5228A">
        <w:rPr>
          <w:rFonts w:ascii="仿宋_GB2312" w:eastAsia="仿宋_GB2312" w:hAnsi="仿宋" w:hint="eastAsia"/>
          <w:b/>
          <w:sz w:val="28"/>
          <w:szCs w:val="28"/>
        </w:rPr>
        <w:t>及讨论</w:t>
      </w:r>
      <w:bookmarkEnd w:id="29"/>
      <w:bookmarkEnd w:id="30"/>
    </w:p>
    <w:p w14:paraId="378C7501" w14:textId="4B7C5FAB" w:rsidR="00A4413C" w:rsidRPr="005466B5" w:rsidRDefault="00F56EBE" w:rsidP="005466B5">
      <w:pPr>
        <w:spacing w:line="540" w:lineRule="exact"/>
        <w:ind w:firstLineChars="200" w:firstLine="600"/>
        <w:rPr>
          <w:rFonts w:ascii="仿宋" w:eastAsia="仿宋" w:hAnsi="仿宋"/>
          <w:sz w:val="30"/>
          <w:szCs w:val="30"/>
        </w:rPr>
      </w:pPr>
      <w:r>
        <w:rPr>
          <w:rFonts w:ascii="仿宋" w:eastAsia="仿宋" w:hAnsi="仿宋" w:hint="eastAsia"/>
          <w:sz w:val="30"/>
          <w:szCs w:val="30"/>
        </w:rPr>
        <w:t>呈现评价结果</w:t>
      </w:r>
      <w:r w:rsidR="00F2102D">
        <w:rPr>
          <w:rFonts w:ascii="仿宋" w:eastAsia="仿宋" w:hAnsi="仿宋" w:hint="eastAsia"/>
          <w:sz w:val="30"/>
          <w:szCs w:val="30"/>
        </w:rPr>
        <w:t>及对结果的适当解释</w:t>
      </w:r>
      <w:r>
        <w:rPr>
          <w:rFonts w:ascii="仿宋" w:eastAsia="仿宋" w:hAnsi="仿宋" w:hint="eastAsia"/>
          <w:sz w:val="30"/>
          <w:szCs w:val="30"/>
        </w:rPr>
        <w:t>，或</w:t>
      </w:r>
      <w:r w:rsidR="00F2102D">
        <w:rPr>
          <w:rFonts w:ascii="仿宋" w:eastAsia="仿宋" w:hAnsi="仿宋" w:hint="eastAsia"/>
          <w:sz w:val="30"/>
          <w:szCs w:val="30"/>
        </w:rPr>
        <w:t>呈现</w:t>
      </w:r>
      <w:r w:rsidRPr="00F56EBE">
        <w:rPr>
          <w:rFonts w:ascii="仿宋" w:eastAsia="仿宋" w:hAnsi="仿宋" w:hint="eastAsia"/>
          <w:sz w:val="30"/>
          <w:szCs w:val="30"/>
        </w:rPr>
        <w:t>支持</w:t>
      </w:r>
      <w:r>
        <w:rPr>
          <w:rFonts w:ascii="仿宋" w:eastAsia="仿宋" w:hAnsi="仿宋" w:hint="eastAsia"/>
          <w:sz w:val="30"/>
          <w:szCs w:val="30"/>
        </w:rPr>
        <w:t>评价结论</w:t>
      </w:r>
      <w:r w:rsidRPr="00F56EBE">
        <w:rPr>
          <w:rFonts w:ascii="仿宋" w:eastAsia="仿宋" w:hAnsi="仿宋" w:hint="eastAsia"/>
          <w:sz w:val="30"/>
          <w:szCs w:val="30"/>
        </w:rPr>
        <w:t>的关键因素</w:t>
      </w:r>
      <w:r>
        <w:rPr>
          <w:rFonts w:ascii="仿宋" w:eastAsia="仿宋" w:hAnsi="仿宋" w:hint="eastAsia"/>
          <w:sz w:val="30"/>
          <w:szCs w:val="30"/>
        </w:rPr>
        <w:t>。</w:t>
      </w:r>
      <w:r w:rsidR="005466B5">
        <w:rPr>
          <w:rFonts w:ascii="仿宋" w:eastAsia="仿宋" w:hAnsi="仿宋" w:hint="eastAsia"/>
          <w:sz w:val="30"/>
          <w:szCs w:val="30"/>
        </w:rPr>
        <w:t>结果</w:t>
      </w:r>
      <w:r w:rsidR="00A4413C" w:rsidRPr="005466B5">
        <w:rPr>
          <w:rFonts w:ascii="仿宋" w:eastAsia="仿宋" w:hAnsi="仿宋" w:hint="eastAsia"/>
          <w:sz w:val="30"/>
          <w:szCs w:val="30"/>
        </w:rPr>
        <w:t>部分不应引入</w:t>
      </w:r>
      <w:r>
        <w:rPr>
          <w:rFonts w:ascii="仿宋" w:eastAsia="仿宋" w:hAnsi="仿宋" w:hint="eastAsia"/>
          <w:sz w:val="30"/>
          <w:szCs w:val="30"/>
        </w:rPr>
        <w:t>前文</w:t>
      </w:r>
      <w:r w:rsidR="005466B5">
        <w:rPr>
          <w:rFonts w:ascii="仿宋" w:eastAsia="仿宋" w:hAnsi="仿宋" w:hint="eastAsia"/>
          <w:sz w:val="30"/>
          <w:szCs w:val="30"/>
        </w:rPr>
        <w:t>中未提及</w:t>
      </w:r>
      <w:r>
        <w:rPr>
          <w:rFonts w:ascii="仿宋" w:eastAsia="仿宋" w:hAnsi="仿宋" w:hint="eastAsia"/>
          <w:sz w:val="30"/>
          <w:szCs w:val="30"/>
        </w:rPr>
        <w:t>的新概念</w:t>
      </w:r>
      <w:r w:rsidR="00A4413C" w:rsidRPr="005466B5">
        <w:rPr>
          <w:rFonts w:ascii="仿宋" w:eastAsia="仿宋" w:hAnsi="仿宋" w:hint="eastAsia"/>
          <w:sz w:val="30"/>
          <w:szCs w:val="30"/>
        </w:rPr>
        <w:t>或</w:t>
      </w:r>
      <w:proofErr w:type="gramStart"/>
      <w:r>
        <w:rPr>
          <w:rFonts w:ascii="仿宋" w:eastAsia="仿宋" w:hAnsi="仿宋" w:hint="eastAsia"/>
          <w:sz w:val="30"/>
          <w:szCs w:val="30"/>
        </w:rPr>
        <w:t>未分析</w:t>
      </w:r>
      <w:proofErr w:type="gramEnd"/>
      <w:r>
        <w:rPr>
          <w:rFonts w:ascii="仿宋" w:eastAsia="仿宋" w:hAnsi="仿宋" w:hint="eastAsia"/>
          <w:sz w:val="30"/>
          <w:szCs w:val="30"/>
        </w:rPr>
        <w:t>的新数据</w:t>
      </w:r>
      <w:r w:rsidR="005466B5">
        <w:rPr>
          <w:rFonts w:ascii="仿宋" w:eastAsia="仿宋" w:hAnsi="仿宋" w:hint="eastAsia"/>
          <w:sz w:val="30"/>
          <w:szCs w:val="30"/>
        </w:rPr>
        <w:t>。</w:t>
      </w:r>
    </w:p>
    <w:p w14:paraId="378BF16B" w14:textId="2147B851" w:rsidR="005507AE" w:rsidRDefault="005507AE" w:rsidP="00956DC6">
      <w:pPr>
        <w:pStyle w:val="a7"/>
        <w:numPr>
          <w:ilvl w:val="0"/>
          <w:numId w:val="13"/>
        </w:numPr>
        <w:spacing w:line="540" w:lineRule="exact"/>
        <w:ind w:left="981" w:firstLineChars="0"/>
        <w:outlineLvl w:val="2"/>
        <w:rPr>
          <w:rFonts w:ascii="仿宋_GB2312" w:eastAsia="仿宋_GB2312" w:hAnsi="仿宋"/>
          <w:b/>
          <w:sz w:val="28"/>
          <w:szCs w:val="28"/>
        </w:rPr>
      </w:pPr>
      <w:bookmarkStart w:id="31" w:name="_Toc175040365"/>
      <w:bookmarkStart w:id="32" w:name="_Toc177114426"/>
      <w:r>
        <w:rPr>
          <w:rFonts w:ascii="仿宋_GB2312" w:eastAsia="仿宋_GB2312" w:hAnsi="仿宋" w:hint="eastAsia"/>
          <w:b/>
          <w:sz w:val="28"/>
          <w:szCs w:val="28"/>
        </w:rPr>
        <w:t>结论</w:t>
      </w:r>
      <w:r w:rsidR="00C10A5B">
        <w:rPr>
          <w:rFonts w:ascii="仿宋_GB2312" w:eastAsia="仿宋_GB2312" w:hAnsi="仿宋" w:hint="eastAsia"/>
          <w:b/>
          <w:sz w:val="28"/>
          <w:szCs w:val="28"/>
        </w:rPr>
        <w:t>及建议</w:t>
      </w:r>
      <w:bookmarkEnd w:id="31"/>
      <w:bookmarkEnd w:id="32"/>
    </w:p>
    <w:p w14:paraId="78F72232" w14:textId="3626F3EE" w:rsidR="005507AE" w:rsidRPr="00CF55DB" w:rsidRDefault="00F2102D" w:rsidP="005507AE">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呈现</w:t>
      </w:r>
      <w:r w:rsidR="005F44AD">
        <w:rPr>
          <w:rFonts w:ascii="仿宋_GB2312" w:eastAsia="仿宋_GB2312" w:hAnsi="仿宋" w:hint="eastAsia"/>
          <w:sz w:val="28"/>
          <w:szCs w:val="28"/>
        </w:rPr>
        <w:t>最</w:t>
      </w:r>
      <w:r w:rsidR="005F44AD">
        <w:rPr>
          <w:rFonts w:ascii="仿宋_GB2312" w:eastAsia="仿宋_GB2312" w:hAnsi="仿宋"/>
          <w:sz w:val="28"/>
          <w:szCs w:val="28"/>
        </w:rPr>
        <w:t>终的</w:t>
      </w:r>
      <w:r>
        <w:rPr>
          <w:rFonts w:ascii="仿宋_GB2312" w:eastAsia="仿宋_GB2312" w:hAnsi="仿宋" w:hint="eastAsia"/>
          <w:sz w:val="28"/>
          <w:szCs w:val="28"/>
        </w:rPr>
        <w:t>评价结论。</w:t>
      </w:r>
      <w:r w:rsidR="005507AE" w:rsidRPr="00CF55DB">
        <w:rPr>
          <w:rFonts w:ascii="仿宋_GB2312" w:eastAsia="仿宋_GB2312" w:hAnsi="仿宋" w:hint="eastAsia"/>
          <w:sz w:val="28"/>
          <w:szCs w:val="28"/>
        </w:rPr>
        <w:t>例如“当前证据表明，</w:t>
      </w:r>
      <w:r w:rsidR="005507AE" w:rsidRPr="00CF55DB">
        <w:rPr>
          <w:rFonts w:ascii="仿宋_GB2312" w:eastAsia="仿宋_GB2312" w:hAnsi="仿宋"/>
          <w:sz w:val="28"/>
          <w:szCs w:val="28"/>
        </w:rPr>
        <w:t>X药品与X事件之间存在可能的相关性</w:t>
      </w:r>
      <w:r w:rsidR="005507AE" w:rsidRPr="00CF55DB">
        <w:rPr>
          <w:rFonts w:ascii="仿宋_GB2312" w:eastAsia="仿宋_GB2312" w:hAnsi="仿宋"/>
          <w:sz w:val="28"/>
          <w:szCs w:val="28"/>
        </w:rPr>
        <w:t>”</w:t>
      </w:r>
      <w:r w:rsidR="005507AE" w:rsidRPr="00CF55DB">
        <w:rPr>
          <w:rFonts w:ascii="仿宋_GB2312" w:eastAsia="仿宋_GB2312" w:hAnsi="仿宋"/>
          <w:sz w:val="28"/>
          <w:szCs w:val="28"/>
        </w:rPr>
        <w:t>或</w:t>
      </w:r>
      <w:r w:rsidR="005507AE" w:rsidRPr="00CF55DB">
        <w:rPr>
          <w:rFonts w:ascii="仿宋_GB2312" w:eastAsia="仿宋_GB2312" w:hAnsi="仿宋"/>
          <w:sz w:val="28"/>
          <w:szCs w:val="28"/>
        </w:rPr>
        <w:t>“</w:t>
      </w:r>
      <w:r w:rsidR="005507AE" w:rsidRPr="00CF55DB">
        <w:rPr>
          <w:rFonts w:ascii="仿宋_GB2312" w:eastAsia="仿宋_GB2312" w:hAnsi="仿宋"/>
          <w:sz w:val="28"/>
          <w:szCs w:val="28"/>
        </w:rPr>
        <w:t>使用X药品可能引起X</w:t>
      </w:r>
      <w:r w:rsidR="00C10A5B">
        <w:rPr>
          <w:rFonts w:ascii="仿宋_GB2312" w:eastAsia="仿宋_GB2312" w:hAnsi="仿宋" w:hint="eastAsia"/>
          <w:sz w:val="28"/>
          <w:szCs w:val="28"/>
        </w:rPr>
        <w:t>事件升高的</w:t>
      </w:r>
      <w:r w:rsidR="005507AE" w:rsidRPr="00CF55DB">
        <w:rPr>
          <w:rFonts w:ascii="仿宋_GB2312" w:eastAsia="仿宋_GB2312" w:hAnsi="仿宋"/>
          <w:sz w:val="28"/>
          <w:szCs w:val="28"/>
        </w:rPr>
        <w:t>风险</w:t>
      </w:r>
      <w:r w:rsidR="005507AE" w:rsidRPr="00CF55DB">
        <w:rPr>
          <w:rFonts w:ascii="仿宋_GB2312" w:eastAsia="仿宋_GB2312" w:hAnsi="仿宋"/>
          <w:sz w:val="28"/>
          <w:szCs w:val="28"/>
        </w:rPr>
        <w:t>”</w:t>
      </w:r>
      <w:r w:rsidR="005507AE" w:rsidRPr="00CF55DB">
        <w:rPr>
          <w:rFonts w:ascii="仿宋_GB2312" w:eastAsia="仿宋_GB2312" w:hAnsi="仿宋"/>
          <w:sz w:val="28"/>
          <w:szCs w:val="28"/>
        </w:rPr>
        <w:t>。对于法得出明确结论的，也应当对本次评价有结论性的表述，例如</w:t>
      </w:r>
      <w:r w:rsidR="005507AE" w:rsidRPr="00CF55DB">
        <w:rPr>
          <w:rFonts w:ascii="仿宋_GB2312" w:eastAsia="仿宋_GB2312" w:hAnsi="仿宋"/>
          <w:sz w:val="28"/>
          <w:szCs w:val="28"/>
        </w:rPr>
        <w:t>“</w:t>
      </w:r>
      <w:r w:rsidR="005507AE" w:rsidRPr="00CF55DB">
        <w:rPr>
          <w:rFonts w:ascii="仿宋_GB2312" w:eastAsia="仿宋_GB2312" w:hAnsi="仿宋"/>
          <w:sz w:val="28"/>
          <w:szCs w:val="28"/>
        </w:rPr>
        <w:t>当前证据尚无法明确使用X药品与发生X风险之间的关联性，需要进一步</w:t>
      </w:r>
      <w:r w:rsidR="00A4413C">
        <w:rPr>
          <w:rFonts w:ascii="仿宋_GB2312" w:eastAsia="仿宋_GB2312" w:hAnsi="仿宋" w:hint="eastAsia"/>
          <w:sz w:val="28"/>
          <w:szCs w:val="28"/>
        </w:rPr>
        <w:t>……。</w:t>
      </w:r>
      <w:r w:rsidR="005507AE" w:rsidRPr="00CF55DB">
        <w:rPr>
          <w:rFonts w:ascii="仿宋_GB2312" w:eastAsia="仿宋_GB2312" w:hAnsi="仿宋"/>
          <w:sz w:val="28"/>
          <w:szCs w:val="28"/>
        </w:rPr>
        <w:t>”</w:t>
      </w:r>
      <w:r w:rsidR="005507AE">
        <w:rPr>
          <w:rFonts w:ascii="仿宋_GB2312" w:eastAsia="仿宋_GB2312" w:hAnsi="仿宋" w:hint="eastAsia"/>
          <w:sz w:val="28"/>
          <w:szCs w:val="28"/>
        </w:rPr>
        <w:t>获益</w:t>
      </w:r>
      <w:r w:rsidR="00A4413C">
        <w:rPr>
          <w:rFonts w:ascii="仿宋_GB2312" w:eastAsia="仿宋_GB2312" w:hAnsi="仿宋" w:hint="eastAsia"/>
          <w:sz w:val="28"/>
          <w:szCs w:val="28"/>
        </w:rPr>
        <w:t>风险</w:t>
      </w:r>
      <w:r w:rsidR="005507AE">
        <w:rPr>
          <w:rFonts w:ascii="仿宋_GB2312" w:eastAsia="仿宋_GB2312" w:hAnsi="仿宋" w:hint="eastAsia"/>
          <w:sz w:val="28"/>
          <w:szCs w:val="28"/>
        </w:rPr>
        <w:t>评估</w:t>
      </w:r>
      <w:r w:rsidR="00A4413C">
        <w:rPr>
          <w:rFonts w:ascii="仿宋_GB2312" w:eastAsia="仿宋_GB2312" w:hAnsi="仿宋" w:hint="eastAsia"/>
          <w:sz w:val="28"/>
          <w:szCs w:val="28"/>
        </w:rPr>
        <w:t>结论可表述为“根据当前获得的所有证据，使用</w:t>
      </w:r>
      <w:r w:rsidR="00A4413C" w:rsidRPr="00CF55DB">
        <w:rPr>
          <w:rFonts w:ascii="仿宋_GB2312" w:eastAsia="仿宋_GB2312" w:hAnsi="仿宋"/>
          <w:sz w:val="28"/>
          <w:szCs w:val="28"/>
        </w:rPr>
        <w:t>X</w:t>
      </w:r>
      <w:r w:rsidR="00A4413C">
        <w:rPr>
          <w:rFonts w:ascii="仿宋_GB2312" w:eastAsia="仿宋_GB2312" w:hAnsi="仿宋" w:hint="eastAsia"/>
          <w:sz w:val="28"/>
          <w:szCs w:val="28"/>
        </w:rPr>
        <w:t>药品的获益</w:t>
      </w:r>
      <w:r>
        <w:rPr>
          <w:rFonts w:ascii="仿宋_GB2312" w:eastAsia="仿宋_GB2312" w:hAnsi="仿宋" w:hint="eastAsia"/>
          <w:sz w:val="28"/>
          <w:szCs w:val="28"/>
        </w:rPr>
        <w:t>（或风险）</w:t>
      </w:r>
      <w:r w:rsidR="00A4413C">
        <w:rPr>
          <w:rFonts w:ascii="仿宋_GB2312" w:eastAsia="仿宋_GB2312" w:hAnsi="仿宋" w:hint="eastAsia"/>
          <w:sz w:val="28"/>
          <w:szCs w:val="28"/>
        </w:rPr>
        <w:t>大于风险</w:t>
      </w:r>
      <w:r>
        <w:rPr>
          <w:rFonts w:ascii="仿宋_GB2312" w:eastAsia="仿宋_GB2312" w:hAnsi="仿宋" w:hint="eastAsia"/>
          <w:sz w:val="28"/>
          <w:szCs w:val="28"/>
        </w:rPr>
        <w:t>（或获益）</w:t>
      </w:r>
      <w:r w:rsidR="00A4413C">
        <w:rPr>
          <w:rFonts w:ascii="仿宋_GB2312" w:eastAsia="仿宋_GB2312" w:hAnsi="仿宋" w:hint="eastAsia"/>
          <w:sz w:val="28"/>
          <w:szCs w:val="28"/>
        </w:rPr>
        <w:t>”</w:t>
      </w:r>
      <w:r w:rsidR="005507AE">
        <w:rPr>
          <w:rFonts w:ascii="仿宋_GB2312" w:eastAsia="仿宋_GB2312" w:hAnsi="仿宋" w:hint="eastAsia"/>
          <w:sz w:val="28"/>
          <w:szCs w:val="28"/>
        </w:rPr>
        <w:t>。</w:t>
      </w:r>
    </w:p>
    <w:p w14:paraId="3BE7C290" w14:textId="047B2920" w:rsidR="005507AE" w:rsidRDefault="005507AE" w:rsidP="005507AE">
      <w:pPr>
        <w:pStyle w:val="a7"/>
        <w:spacing w:line="540" w:lineRule="exact"/>
        <w:ind w:firstLineChars="253" w:firstLine="708"/>
        <w:rPr>
          <w:rFonts w:ascii="仿宋" w:eastAsia="仿宋" w:hAnsi="仿宋"/>
          <w:sz w:val="30"/>
          <w:szCs w:val="30"/>
        </w:rPr>
      </w:pPr>
      <w:r>
        <w:rPr>
          <w:rFonts w:ascii="仿宋_GB2312" w:eastAsia="仿宋_GB2312" w:hAnsi="仿宋" w:hint="eastAsia"/>
          <w:sz w:val="28"/>
          <w:szCs w:val="28"/>
        </w:rPr>
        <w:t>风险管理建议</w:t>
      </w:r>
      <w:r w:rsidR="005F44AD">
        <w:rPr>
          <w:rFonts w:ascii="仿宋" w:eastAsia="仿宋" w:hAnsi="仿宋" w:hint="eastAsia"/>
          <w:sz w:val="30"/>
          <w:szCs w:val="30"/>
        </w:rPr>
        <w:t>应当具体，并恰当地说明理由。对</w:t>
      </w:r>
      <w:r w:rsidR="005F44AD">
        <w:rPr>
          <w:rFonts w:ascii="仿宋" w:eastAsia="仿宋" w:hAnsi="仿宋"/>
          <w:sz w:val="30"/>
          <w:szCs w:val="30"/>
        </w:rPr>
        <w:t>于</w:t>
      </w:r>
      <w:r w:rsidRPr="000C4290">
        <w:rPr>
          <w:rFonts w:ascii="仿宋" w:eastAsia="仿宋" w:hAnsi="仿宋" w:hint="eastAsia"/>
          <w:sz w:val="30"/>
          <w:szCs w:val="30"/>
        </w:rPr>
        <w:t>建议修订药品说明书的，应当</w:t>
      </w:r>
      <w:r>
        <w:rPr>
          <w:rFonts w:ascii="仿宋" w:eastAsia="仿宋" w:hAnsi="仿宋" w:hint="eastAsia"/>
          <w:sz w:val="30"/>
          <w:szCs w:val="30"/>
        </w:rPr>
        <w:t>说明重点修订内容，并</w:t>
      </w:r>
      <w:proofErr w:type="gramStart"/>
      <w:r>
        <w:rPr>
          <w:rFonts w:ascii="仿宋" w:eastAsia="仿宋" w:hAnsi="仿宋" w:hint="eastAsia"/>
          <w:sz w:val="30"/>
          <w:szCs w:val="30"/>
        </w:rPr>
        <w:t>附具体</w:t>
      </w:r>
      <w:proofErr w:type="gramEnd"/>
      <w:r w:rsidRPr="000C4290">
        <w:rPr>
          <w:rFonts w:ascii="仿宋" w:eastAsia="仿宋" w:hAnsi="仿宋" w:hint="eastAsia"/>
          <w:sz w:val="30"/>
          <w:szCs w:val="30"/>
        </w:rPr>
        <w:t>修订方案及逐条修订理由；建议采取特殊风险</w:t>
      </w:r>
      <w:r w:rsidR="005F44AD">
        <w:rPr>
          <w:rFonts w:ascii="仿宋" w:eastAsia="仿宋" w:hAnsi="仿宋" w:hint="eastAsia"/>
          <w:sz w:val="30"/>
          <w:szCs w:val="30"/>
        </w:rPr>
        <w:t>控制</w:t>
      </w:r>
      <w:r w:rsidRPr="000C4290">
        <w:rPr>
          <w:rFonts w:ascii="仿宋" w:eastAsia="仿宋" w:hAnsi="仿宋" w:hint="eastAsia"/>
          <w:sz w:val="30"/>
          <w:szCs w:val="30"/>
        </w:rPr>
        <w:t>措施的，应当说明措施的具体内容及采取该措施的原因</w:t>
      </w:r>
      <w:r>
        <w:rPr>
          <w:rFonts w:ascii="仿宋" w:eastAsia="仿宋" w:hAnsi="仿宋" w:hint="eastAsia"/>
          <w:sz w:val="30"/>
          <w:szCs w:val="30"/>
        </w:rPr>
        <w:t>，</w:t>
      </w:r>
      <w:r w:rsidR="00946E1E">
        <w:rPr>
          <w:rFonts w:ascii="仿宋" w:eastAsia="仿宋" w:hAnsi="仿宋" w:hint="eastAsia"/>
          <w:sz w:val="30"/>
          <w:szCs w:val="30"/>
        </w:rPr>
        <w:t>并</w:t>
      </w:r>
      <w:r>
        <w:rPr>
          <w:rFonts w:ascii="仿宋" w:eastAsia="仿宋" w:hAnsi="仿宋" w:hint="eastAsia"/>
          <w:sz w:val="30"/>
          <w:szCs w:val="30"/>
        </w:rPr>
        <w:t>以附件形式提交药物警戒计划</w:t>
      </w:r>
      <w:r w:rsidR="00CB477D">
        <w:rPr>
          <w:rFonts w:ascii="仿宋" w:eastAsia="仿宋" w:hAnsi="仿宋" w:hint="eastAsia"/>
          <w:sz w:val="30"/>
          <w:szCs w:val="30"/>
        </w:rPr>
        <w:t>/风险管理计划</w:t>
      </w:r>
      <w:r w:rsidRPr="000C4290">
        <w:rPr>
          <w:rFonts w:ascii="仿宋" w:eastAsia="仿宋" w:hAnsi="仿宋" w:hint="eastAsia"/>
          <w:sz w:val="30"/>
          <w:szCs w:val="30"/>
        </w:rPr>
        <w:t>；对于需要进一步开展研究的，应当</w:t>
      </w:r>
      <w:r>
        <w:rPr>
          <w:rFonts w:ascii="仿宋" w:eastAsia="仿宋" w:hAnsi="仿宋" w:hint="eastAsia"/>
          <w:sz w:val="30"/>
          <w:szCs w:val="30"/>
        </w:rPr>
        <w:t>简要说明开展研究的</w:t>
      </w:r>
      <w:r w:rsidR="00D518F2">
        <w:rPr>
          <w:rFonts w:ascii="仿宋" w:eastAsia="仿宋" w:hAnsi="仿宋" w:hint="eastAsia"/>
          <w:sz w:val="30"/>
          <w:szCs w:val="30"/>
        </w:rPr>
        <w:t>相关考虑</w:t>
      </w:r>
      <w:r>
        <w:rPr>
          <w:rFonts w:ascii="仿宋" w:eastAsia="仿宋" w:hAnsi="仿宋" w:hint="eastAsia"/>
          <w:sz w:val="30"/>
          <w:szCs w:val="30"/>
        </w:rPr>
        <w:t>，</w:t>
      </w:r>
      <w:r w:rsidR="004514B4">
        <w:rPr>
          <w:rFonts w:ascii="仿宋" w:eastAsia="仿宋" w:hAnsi="仿宋" w:hint="eastAsia"/>
          <w:sz w:val="30"/>
          <w:szCs w:val="30"/>
        </w:rPr>
        <w:t>并</w:t>
      </w:r>
      <w:r>
        <w:rPr>
          <w:rFonts w:ascii="仿宋" w:eastAsia="仿宋" w:hAnsi="仿宋" w:hint="eastAsia"/>
          <w:sz w:val="30"/>
          <w:szCs w:val="30"/>
        </w:rPr>
        <w:t>以附件形式提供研究计划或研究</w:t>
      </w:r>
      <w:r w:rsidRPr="000C4290">
        <w:rPr>
          <w:rFonts w:ascii="仿宋" w:eastAsia="仿宋" w:hAnsi="仿宋" w:hint="eastAsia"/>
          <w:sz w:val="30"/>
          <w:szCs w:val="30"/>
        </w:rPr>
        <w:t>方案。</w:t>
      </w:r>
      <w:r w:rsidR="00D518F2">
        <w:rPr>
          <w:rFonts w:ascii="仿宋" w:eastAsia="仿宋" w:hAnsi="仿宋" w:hint="eastAsia"/>
          <w:sz w:val="30"/>
          <w:szCs w:val="30"/>
        </w:rPr>
        <w:t>相关</w:t>
      </w:r>
      <w:r w:rsidR="00CB477D">
        <w:rPr>
          <w:rFonts w:ascii="仿宋" w:eastAsia="仿宋" w:hAnsi="仿宋" w:hint="eastAsia"/>
          <w:sz w:val="30"/>
          <w:szCs w:val="30"/>
        </w:rPr>
        <w:lastRenderedPageBreak/>
        <w:t>计划或方案</w:t>
      </w:r>
      <w:r w:rsidR="00D518F2">
        <w:rPr>
          <w:rFonts w:ascii="仿宋" w:eastAsia="仿宋" w:hAnsi="仿宋" w:hint="eastAsia"/>
          <w:sz w:val="30"/>
          <w:szCs w:val="30"/>
        </w:rPr>
        <w:t>不能及时提供</w:t>
      </w:r>
      <w:r w:rsidR="007E6B3C">
        <w:rPr>
          <w:rFonts w:ascii="仿宋" w:eastAsia="仿宋" w:hAnsi="仿宋" w:hint="eastAsia"/>
          <w:sz w:val="30"/>
          <w:szCs w:val="30"/>
        </w:rPr>
        <w:t>的，</w:t>
      </w:r>
      <w:r w:rsidR="00D518F2">
        <w:rPr>
          <w:rFonts w:ascii="仿宋" w:eastAsia="仿宋" w:hAnsi="仿宋" w:hint="eastAsia"/>
          <w:sz w:val="30"/>
          <w:szCs w:val="30"/>
        </w:rPr>
        <w:t>应进行</w:t>
      </w:r>
      <w:r w:rsidR="005F44AD">
        <w:rPr>
          <w:rFonts w:ascii="仿宋" w:eastAsia="仿宋" w:hAnsi="仿宋" w:hint="eastAsia"/>
          <w:sz w:val="30"/>
          <w:szCs w:val="30"/>
        </w:rPr>
        <w:t>解释</w:t>
      </w:r>
      <w:r w:rsidR="00D518F2">
        <w:rPr>
          <w:rFonts w:ascii="仿宋" w:eastAsia="仿宋" w:hAnsi="仿宋" w:hint="eastAsia"/>
          <w:sz w:val="30"/>
          <w:szCs w:val="30"/>
        </w:rPr>
        <w:t>并明确提交时间。</w:t>
      </w:r>
    </w:p>
    <w:p w14:paraId="451FE574" w14:textId="77777777" w:rsidR="005507AE" w:rsidRPr="00A90BC3" w:rsidRDefault="005507AE" w:rsidP="00956DC6">
      <w:pPr>
        <w:spacing w:line="540" w:lineRule="exact"/>
        <w:ind w:firstLineChars="200" w:firstLine="560"/>
        <w:outlineLvl w:val="1"/>
        <w:rPr>
          <w:rFonts w:ascii="黑体" w:eastAsia="黑体" w:hAnsi="黑体"/>
          <w:sz w:val="28"/>
          <w:szCs w:val="28"/>
        </w:rPr>
      </w:pPr>
      <w:bookmarkStart w:id="33" w:name="_Toc175040366"/>
      <w:bookmarkStart w:id="34" w:name="_Toc177114427"/>
      <w:r w:rsidRPr="00A90BC3">
        <w:rPr>
          <w:rFonts w:ascii="黑体" w:eastAsia="黑体" w:hAnsi="黑体" w:hint="eastAsia"/>
          <w:sz w:val="28"/>
          <w:szCs w:val="28"/>
        </w:rPr>
        <w:t>第三部分 参考文献</w:t>
      </w:r>
      <w:bookmarkEnd w:id="33"/>
      <w:bookmarkEnd w:id="34"/>
    </w:p>
    <w:p w14:paraId="73B2767E" w14:textId="70F9E6EB" w:rsidR="005507AE" w:rsidRDefault="004514B4" w:rsidP="00BD3A95">
      <w:pPr>
        <w:pStyle w:val="a7"/>
        <w:spacing w:line="540" w:lineRule="exact"/>
        <w:ind w:firstLine="600"/>
        <w:rPr>
          <w:rFonts w:ascii="仿宋" w:eastAsia="仿宋" w:hAnsi="仿宋"/>
          <w:b/>
          <w:sz w:val="30"/>
          <w:szCs w:val="30"/>
        </w:rPr>
      </w:pPr>
      <w:r>
        <w:rPr>
          <w:rFonts w:ascii="仿宋" w:eastAsia="仿宋" w:hAnsi="仿宋" w:hint="eastAsia"/>
          <w:sz w:val="30"/>
          <w:szCs w:val="30"/>
        </w:rPr>
        <w:t>参考文献</w:t>
      </w:r>
      <w:r w:rsidR="005507AE">
        <w:rPr>
          <w:rFonts w:ascii="仿宋" w:eastAsia="仿宋" w:hAnsi="仿宋" w:hint="eastAsia"/>
          <w:sz w:val="30"/>
          <w:szCs w:val="30"/>
        </w:rPr>
        <w:t>按照文献引文的标准格式提供。所有参考文献在正文中应有标引。对评价有重要价值的文献，建议</w:t>
      </w:r>
      <w:r w:rsidR="00BD3A95">
        <w:rPr>
          <w:rFonts w:ascii="仿宋" w:eastAsia="仿宋" w:hAnsi="仿宋" w:hint="eastAsia"/>
          <w:sz w:val="30"/>
          <w:szCs w:val="30"/>
        </w:rPr>
        <w:t>以附件形式</w:t>
      </w:r>
      <w:r w:rsidR="005507AE">
        <w:rPr>
          <w:rFonts w:ascii="仿宋" w:eastAsia="仿宋" w:hAnsi="仿宋" w:hint="eastAsia"/>
          <w:sz w:val="30"/>
          <w:szCs w:val="30"/>
        </w:rPr>
        <w:t>提供全文</w:t>
      </w:r>
      <w:r>
        <w:rPr>
          <w:rFonts w:ascii="仿宋" w:eastAsia="仿宋" w:hAnsi="仿宋" w:hint="eastAsia"/>
          <w:sz w:val="30"/>
          <w:szCs w:val="30"/>
        </w:rPr>
        <w:t>，</w:t>
      </w:r>
      <w:r w:rsidR="005507AE">
        <w:rPr>
          <w:rFonts w:ascii="仿宋" w:eastAsia="仿宋" w:hAnsi="仿宋" w:hint="eastAsia"/>
          <w:sz w:val="30"/>
          <w:szCs w:val="30"/>
        </w:rPr>
        <w:t>非</w:t>
      </w:r>
      <w:r>
        <w:rPr>
          <w:rFonts w:ascii="仿宋" w:eastAsia="仿宋" w:hAnsi="仿宋" w:hint="eastAsia"/>
          <w:sz w:val="30"/>
          <w:szCs w:val="30"/>
        </w:rPr>
        <w:t>中文语言应翻译为中文，并附原文</w:t>
      </w:r>
      <w:r w:rsidR="005507AE">
        <w:rPr>
          <w:rFonts w:ascii="仿宋" w:eastAsia="仿宋" w:hAnsi="仿宋" w:hint="eastAsia"/>
          <w:sz w:val="30"/>
          <w:szCs w:val="30"/>
        </w:rPr>
        <w:t>。</w:t>
      </w:r>
    </w:p>
    <w:p w14:paraId="2078BA6F" w14:textId="77777777" w:rsidR="005507AE" w:rsidRPr="00A90BC3" w:rsidRDefault="005507AE" w:rsidP="00956DC6">
      <w:pPr>
        <w:spacing w:line="540" w:lineRule="exact"/>
        <w:ind w:firstLineChars="200" w:firstLine="560"/>
        <w:outlineLvl w:val="1"/>
        <w:rPr>
          <w:rFonts w:ascii="黑体" w:eastAsia="黑体" w:hAnsi="黑体"/>
          <w:sz w:val="28"/>
          <w:szCs w:val="28"/>
        </w:rPr>
      </w:pPr>
      <w:bookmarkStart w:id="35" w:name="_Toc175040367"/>
      <w:bookmarkStart w:id="36" w:name="_Toc177114428"/>
      <w:r w:rsidRPr="00A90BC3">
        <w:rPr>
          <w:rFonts w:ascii="黑体" w:eastAsia="黑体" w:hAnsi="黑体" w:hint="eastAsia"/>
          <w:sz w:val="28"/>
          <w:szCs w:val="28"/>
        </w:rPr>
        <w:t>第四部分 附件</w:t>
      </w:r>
      <w:bookmarkEnd w:id="35"/>
      <w:bookmarkEnd w:id="36"/>
    </w:p>
    <w:p w14:paraId="5294F523" w14:textId="6967B9C8" w:rsidR="005507AE" w:rsidRPr="000C4290" w:rsidRDefault="005F44AD" w:rsidP="00440B6E">
      <w:pPr>
        <w:pStyle w:val="a7"/>
        <w:spacing w:line="540" w:lineRule="exact"/>
        <w:ind w:firstLine="600"/>
        <w:rPr>
          <w:rFonts w:ascii="仿宋" w:eastAsia="仿宋" w:hAnsi="仿宋"/>
          <w:sz w:val="30"/>
          <w:szCs w:val="30"/>
        </w:rPr>
      </w:pPr>
      <w:r>
        <w:rPr>
          <w:rFonts w:ascii="仿宋" w:eastAsia="仿宋" w:hAnsi="仿宋" w:hint="eastAsia"/>
          <w:sz w:val="30"/>
          <w:szCs w:val="30"/>
        </w:rPr>
        <w:t>附</w:t>
      </w:r>
      <w:r>
        <w:rPr>
          <w:rFonts w:ascii="仿宋" w:eastAsia="仿宋" w:hAnsi="仿宋"/>
          <w:sz w:val="30"/>
          <w:szCs w:val="30"/>
        </w:rPr>
        <w:t>件</w:t>
      </w:r>
      <w:r>
        <w:rPr>
          <w:rFonts w:ascii="仿宋" w:eastAsia="仿宋" w:hAnsi="仿宋" w:hint="eastAsia"/>
          <w:sz w:val="30"/>
          <w:szCs w:val="30"/>
        </w:rPr>
        <w:t>多</w:t>
      </w:r>
      <w:r>
        <w:rPr>
          <w:rFonts w:ascii="仿宋" w:eastAsia="仿宋" w:hAnsi="仿宋"/>
          <w:sz w:val="30"/>
          <w:szCs w:val="30"/>
        </w:rPr>
        <w:t>的，应</w:t>
      </w:r>
      <w:r w:rsidR="005507AE">
        <w:rPr>
          <w:rFonts w:ascii="仿宋" w:eastAsia="仿宋" w:hAnsi="仿宋" w:hint="eastAsia"/>
          <w:sz w:val="30"/>
          <w:szCs w:val="30"/>
        </w:rPr>
        <w:t>首先提供附件目录，再逐一列出各项附件。附件应包括</w:t>
      </w:r>
      <w:r w:rsidR="00F06193">
        <w:rPr>
          <w:rFonts w:ascii="仿宋" w:eastAsia="仿宋" w:hAnsi="仿宋" w:hint="eastAsia"/>
          <w:sz w:val="30"/>
          <w:szCs w:val="30"/>
        </w:rPr>
        <w:t>联系人和联系方式，</w:t>
      </w:r>
      <w:r w:rsidR="00BD3A95">
        <w:rPr>
          <w:rFonts w:ascii="仿宋" w:eastAsia="仿宋" w:hAnsi="仿宋" w:hint="eastAsia"/>
          <w:sz w:val="30"/>
          <w:szCs w:val="30"/>
        </w:rPr>
        <w:t>本企业最新版药品</w:t>
      </w:r>
      <w:r w:rsidR="005507AE">
        <w:rPr>
          <w:rFonts w:ascii="仿宋" w:eastAsia="仿宋" w:hAnsi="仿宋" w:hint="eastAsia"/>
          <w:sz w:val="30"/>
          <w:szCs w:val="30"/>
        </w:rPr>
        <w:t>说明书，重要</w:t>
      </w:r>
      <w:r w:rsidR="00BD3A95">
        <w:rPr>
          <w:rFonts w:ascii="仿宋" w:eastAsia="仿宋" w:hAnsi="仿宋" w:hint="eastAsia"/>
          <w:sz w:val="30"/>
          <w:szCs w:val="30"/>
        </w:rPr>
        <w:t>参考文献，其他正文中标注的附件。</w:t>
      </w:r>
      <w:r w:rsidR="005507AE">
        <w:rPr>
          <w:rFonts w:ascii="仿宋" w:eastAsia="仿宋" w:hAnsi="仿宋" w:hint="eastAsia"/>
          <w:sz w:val="30"/>
          <w:szCs w:val="30"/>
        </w:rPr>
        <w:t>正文中内容过长的部分（</w:t>
      </w:r>
      <w:r w:rsidR="00D2188E">
        <w:rPr>
          <w:rFonts w:ascii="仿宋" w:eastAsia="仿宋" w:hAnsi="仿宋" w:hint="eastAsia"/>
          <w:sz w:val="30"/>
          <w:szCs w:val="30"/>
        </w:rPr>
        <w:t>例</w:t>
      </w:r>
      <w:r w:rsidR="005507AE">
        <w:rPr>
          <w:rFonts w:ascii="仿宋" w:eastAsia="仿宋" w:hAnsi="仿宋" w:hint="eastAsia"/>
          <w:sz w:val="30"/>
          <w:szCs w:val="30"/>
        </w:rPr>
        <w:t>如</w:t>
      </w:r>
      <w:r w:rsidR="00017DCD">
        <w:rPr>
          <w:rFonts w:ascii="仿宋" w:eastAsia="仿宋" w:hAnsi="仿宋" w:hint="eastAsia"/>
          <w:sz w:val="30"/>
          <w:szCs w:val="30"/>
        </w:rPr>
        <w:t>超过</w:t>
      </w:r>
      <w:r w:rsidR="00017DCD">
        <w:rPr>
          <w:rFonts w:ascii="仿宋" w:eastAsia="仿宋" w:hAnsi="仿宋"/>
          <w:sz w:val="30"/>
          <w:szCs w:val="30"/>
        </w:rPr>
        <w:t>1</w:t>
      </w:r>
      <w:r w:rsidR="00017DCD">
        <w:rPr>
          <w:rFonts w:ascii="仿宋" w:eastAsia="仿宋" w:hAnsi="仿宋" w:hint="eastAsia"/>
          <w:sz w:val="30"/>
          <w:szCs w:val="30"/>
        </w:rPr>
        <w:t>页的</w:t>
      </w:r>
      <w:r w:rsidR="005507AE">
        <w:rPr>
          <w:rFonts w:ascii="仿宋" w:eastAsia="仿宋" w:hAnsi="仿宋" w:hint="eastAsia"/>
          <w:sz w:val="30"/>
          <w:szCs w:val="30"/>
        </w:rPr>
        <w:t>表格</w:t>
      </w:r>
      <w:r w:rsidR="00DC37C7">
        <w:rPr>
          <w:rFonts w:ascii="仿宋" w:eastAsia="仿宋" w:hAnsi="仿宋" w:hint="eastAsia"/>
          <w:sz w:val="30"/>
          <w:szCs w:val="30"/>
        </w:rPr>
        <w:t>或</w:t>
      </w:r>
      <w:r w:rsidR="00017DCD">
        <w:rPr>
          <w:rFonts w:ascii="仿宋" w:eastAsia="仿宋" w:hAnsi="仿宋" w:hint="eastAsia"/>
          <w:sz w:val="30"/>
          <w:szCs w:val="30"/>
        </w:rPr>
        <w:t>原始资料</w:t>
      </w:r>
      <w:r w:rsidR="00BD3A95">
        <w:rPr>
          <w:rFonts w:ascii="仿宋" w:eastAsia="仿宋" w:hAnsi="仿宋" w:hint="eastAsia"/>
          <w:sz w:val="30"/>
          <w:szCs w:val="30"/>
        </w:rPr>
        <w:t>等）</w:t>
      </w:r>
      <w:r w:rsidR="00F06193">
        <w:rPr>
          <w:rFonts w:ascii="仿宋" w:eastAsia="仿宋" w:hAnsi="仿宋" w:hint="eastAsia"/>
          <w:sz w:val="30"/>
          <w:szCs w:val="30"/>
        </w:rPr>
        <w:t>建议</w:t>
      </w:r>
      <w:r w:rsidR="00BD3A95">
        <w:rPr>
          <w:rFonts w:ascii="仿宋" w:eastAsia="仿宋" w:hAnsi="仿宋" w:hint="eastAsia"/>
          <w:sz w:val="30"/>
          <w:szCs w:val="30"/>
        </w:rPr>
        <w:t>以附件形式呈现。</w:t>
      </w:r>
    </w:p>
    <w:p w14:paraId="3D89A6D2" w14:textId="77777777" w:rsidR="005507AE" w:rsidRPr="005507AE" w:rsidRDefault="005507AE" w:rsidP="007F7F37">
      <w:pPr>
        <w:suppressLineNumbers/>
        <w:spacing w:line="540" w:lineRule="exact"/>
        <w:rPr>
          <w:rFonts w:ascii="仿宋" w:eastAsia="仿宋" w:hAnsi="仿宋"/>
          <w:sz w:val="30"/>
          <w:szCs w:val="30"/>
        </w:rPr>
      </w:pPr>
      <w:bookmarkStart w:id="37" w:name="_GoBack"/>
      <w:bookmarkEnd w:id="37"/>
    </w:p>
    <w:sectPr w:rsidR="005507AE" w:rsidRPr="005507AE" w:rsidSect="007F7F37">
      <w:footerReference w:type="default" r:id="rId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36A0" w14:textId="77777777" w:rsidR="00097527" w:rsidRDefault="00097527" w:rsidP="005B57C0">
      <w:r>
        <w:separator/>
      </w:r>
    </w:p>
  </w:endnote>
  <w:endnote w:type="continuationSeparator" w:id="0">
    <w:p w14:paraId="333E3778" w14:textId="77777777" w:rsidR="00097527" w:rsidRDefault="00097527" w:rsidP="005B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YaHei">
    <w:altName w:val="Times New Roman"/>
    <w:charset w:val="00"/>
    <w:family w:val="roman"/>
    <w:pitch w:val="default"/>
  </w:font>
  <w:font w:name="ACaslonPro-Regular">
    <w:altName w:val="Times New Roman"/>
    <w:charset w:val="00"/>
    <w:family w:val="roman"/>
    <w:pitch w:val="default"/>
  </w:font>
  <w:font w:name="FZLTKHK--GBK1-0">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774536"/>
      <w:docPartObj>
        <w:docPartGallery w:val="Page Numbers (Bottom of Page)"/>
        <w:docPartUnique/>
      </w:docPartObj>
    </w:sdtPr>
    <w:sdtEndPr/>
    <w:sdtContent>
      <w:p w14:paraId="05CBD43E" w14:textId="16F3691E" w:rsidR="00356836" w:rsidRDefault="00356836">
        <w:pPr>
          <w:pStyle w:val="a5"/>
          <w:jc w:val="center"/>
        </w:pPr>
        <w:r>
          <w:fldChar w:fldCharType="begin"/>
        </w:r>
        <w:r>
          <w:instrText>PAGE   \* MERGEFORMAT</w:instrText>
        </w:r>
        <w:r>
          <w:fldChar w:fldCharType="separate"/>
        </w:r>
        <w:r w:rsidR="007F7F37" w:rsidRPr="007F7F37">
          <w:rPr>
            <w:noProof/>
            <w:lang w:val="zh-CN"/>
          </w:rPr>
          <w:t>16</w:t>
        </w:r>
        <w:r>
          <w:fldChar w:fldCharType="end"/>
        </w:r>
      </w:p>
    </w:sdtContent>
  </w:sdt>
  <w:p w14:paraId="7799FD93" w14:textId="77777777" w:rsidR="00356836" w:rsidRDefault="003568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3AD9" w14:textId="77777777" w:rsidR="00097527" w:rsidRDefault="00097527" w:rsidP="005B57C0">
      <w:r>
        <w:separator/>
      </w:r>
    </w:p>
  </w:footnote>
  <w:footnote w:type="continuationSeparator" w:id="0">
    <w:p w14:paraId="63E957AC" w14:textId="77777777" w:rsidR="00097527" w:rsidRDefault="00097527" w:rsidP="005B57C0">
      <w:r>
        <w:continuationSeparator/>
      </w:r>
    </w:p>
  </w:footnote>
  <w:footnote w:id="1">
    <w:p w14:paraId="339CDEEE" w14:textId="1EAF42AC" w:rsidR="00356836" w:rsidRPr="00B94D43" w:rsidRDefault="00356836">
      <w:pPr>
        <w:pStyle w:val="af4"/>
      </w:pPr>
      <w:r>
        <w:rPr>
          <w:rStyle w:val="af6"/>
        </w:rPr>
        <w:footnoteRef/>
      </w:r>
      <w:r>
        <w:t xml:space="preserve"> Introductory Guide for </w:t>
      </w:r>
      <w:proofErr w:type="spellStart"/>
      <w:r>
        <w:t>Standardised</w:t>
      </w:r>
      <w:proofErr w:type="spellEnd"/>
      <w:r>
        <w:t xml:space="preserve"> </w:t>
      </w:r>
      <w:proofErr w:type="spellStart"/>
      <w:r>
        <w:t>MedDRA</w:t>
      </w:r>
      <w:proofErr w:type="spellEnd"/>
      <w:r>
        <w:t xml:space="preserve"> Queries (SMQs). </w:t>
      </w:r>
      <w:r w:rsidRPr="00B94D43">
        <w:t>https://admin.new.meddra.org/</w:t>
      </w:r>
    </w:p>
  </w:footnote>
  <w:footnote w:id="2">
    <w:p w14:paraId="05ACE860" w14:textId="77777777" w:rsidR="00691C20" w:rsidRDefault="00691C20" w:rsidP="00691C20">
      <w:pPr>
        <w:pStyle w:val="af4"/>
      </w:pPr>
      <w:r>
        <w:rPr>
          <w:rStyle w:val="af6"/>
        </w:rPr>
        <w:footnoteRef/>
      </w:r>
      <w:r>
        <w:t xml:space="preserve"> </w:t>
      </w:r>
      <w:r>
        <w:rPr>
          <w:rFonts w:hint="eastAsia"/>
        </w:rPr>
        <w:t>美国USPI</w:t>
      </w:r>
      <w:r>
        <w:t xml:space="preserve">. </w:t>
      </w:r>
      <w:r w:rsidRPr="0089741B">
        <w:t>https://www.fda.gov/drugs/laws-acts-and-rules/fdas-labeling-resources-human-prescription-drugs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5F011EE"/>
    <w:lvl w:ilvl="0" w:tplc="04090001">
      <w:start w:val="1"/>
      <w:numFmt w:val="bullet"/>
      <w:lvlText w:val=""/>
      <w:lvlJc w:val="left"/>
      <w:pPr>
        <w:ind w:left="1266" w:hanging="420"/>
      </w:pPr>
      <w:rPr>
        <w:rFonts w:ascii="Wingdings" w:hAnsi="Wingdings"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 w15:restartNumberingAfterBreak="0">
    <w:nsid w:val="00000002"/>
    <w:multiLevelType w:val="multilevel"/>
    <w:tmpl w:val="C568D8CA"/>
    <w:lvl w:ilvl="0">
      <w:start w:val="1"/>
      <w:numFmt w:val="decimal"/>
      <w:lvlText w:val="%1."/>
      <w:lvlJc w:val="left"/>
      <w:pPr>
        <w:ind w:left="986" w:hanging="420"/>
      </w:pPr>
    </w:lvl>
    <w:lvl w:ilvl="1">
      <w:start w:val="1"/>
      <w:numFmt w:val="decimal"/>
      <w:isLgl/>
      <w:lvlText w:val="%1.%2"/>
      <w:lvlJc w:val="left"/>
      <w:pPr>
        <w:ind w:left="1286"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646" w:hanging="1080"/>
      </w:pPr>
      <w:rPr>
        <w:rFonts w:hint="default"/>
      </w:rPr>
    </w:lvl>
    <w:lvl w:ilvl="4">
      <w:start w:val="1"/>
      <w:numFmt w:val="decimal"/>
      <w:isLgl/>
      <w:lvlText w:val="%1.%2.%3.%4.%5"/>
      <w:lvlJc w:val="left"/>
      <w:pPr>
        <w:ind w:left="2006" w:hanging="1440"/>
      </w:pPr>
      <w:rPr>
        <w:rFonts w:hint="default"/>
      </w:rPr>
    </w:lvl>
    <w:lvl w:ilvl="5">
      <w:start w:val="1"/>
      <w:numFmt w:val="decimal"/>
      <w:isLgl/>
      <w:lvlText w:val="%1.%2.%3.%4.%5.%6"/>
      <w:lvlJc w:val="left"/>
      <w:pPr>
        <w:ind w:left="2366" w:hanging="1800"/>
      </w:pPr>
      <w:rPr>
        <w:rFonts w:hint="default"/>
      </w:rPr>
    </w:lvl>
    <w:lvl w:ilvl="6">
      <w:start w:val="1"/>
      <w:numFmt w:val="decimal"/>
      <w:isLgl/>
      <w:lvlText w:val="%1.%2.%3.%4.%5.%6.%7"/>
      <w:lvlJc w:val="left"/>
      <w:pPr>
        <w:ind w:left="2726" w:hanging="2160"/>
      </w:pPr>
      <w:rPr>
        <w:rFonts w:hint="default"/>
      </w:rPr>
    </w:lvl>
    <w:lvl w:ilvl="7">
      <w:start w:val="1"/>
      <w:numFmt w:val="decimal"/>
      <w:isLgl/>
      <w:lvlText w:val="%1.%2.%3.%4.%5.%6.%7.%8"/>
      <w:lvlJc w:val="left"/>
      <w:pPr>
        <w:ind w:left="2726" w:hanging="2160"/>
      </w:pPr>
      <w:rPr>
        <w:rFonts w:hint="default"/>
      </w:rPr>
    </w:lvl>
    <w:lvl w:ilvl="8">
      <w:start w:val="1"/>
      <w:numFmt w:val="decimal"/>
      <w:isLgl/>
      <w:lvlText w:val="%1.%2.%3.%4.%5.%6.%7.%8.%9"/>
      <w:lvlJc w:val="left"/>
      <w:pPr>
        <w:ind w:left="3086" w:hanging="2520"/>
      </w:pPr>
      <w:rPr>
        <w:rFonts w:hint="default"/>
      </w:rPr>
    </w:lvl>
  </w:abstractNum>
  <w:abstractNum w:abstractNumId="2" w15:restartNumberingAfterBreak="0">
    <w:nsid w:val="00000007"/>
    <w:multiLevelType w:val="multilevel"/>
    <w:tmpl w:val="EDBA847E"/>
    <w:lvl w:ilvl="0">
      <w:start w:val="4"/>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3" w15:restartNumberingAfterBreak="0">
    <w:nsid w:val="0000000A"/>
    <w:multiLevelType w:val="hybridMultilevel"/>
    <w:tmpl w:val="626C5BB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4" w15:restartNumberingAfterBreak="0">
    <w:nsid w:val="05B64A3F"/>
    <w:multiLevelType w:val="multilevel"/>
    <w:tmpl w:val="BB1A5F7C"/>
    <w:lvl w:ilvl="0">
      <w:start w:val="1"/>
      <w:numFmt w:val="decimal"/>
      <w:lvlText w:val="%1."/>
      <w:lvlJc w:val="left"/>
      <w:pPr>
        <w:ind w:left="360" w:hanging="360"/>
      </w:pPr>
      <w:rPr>
        <w:rFonts w:hint="default"/>
      </w:rPr>
    </w:lvl>
    <w:lvl w:ilvl="1">
      <w:start w:val="1"/>
      <w:numFmt w:val="decimal"/>
      <w:isLgl/>
      <w:lvlText w:val="%1.%2"/>
      <w:lvlJc w:val="left"/>
      <w:pPr>
        <w:ind w:left="430"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1E41DB3"/>
    <w:multiLevelType w:val="hybridMultilevel"/>
    <w:tmpl w:val="45B472F4"/>
    <w:lvl w:ilvl="0" w:tplc="2BBE8072">
      <w:start w:val="1"/>
      <w:numFmt w:val="bullet"/>
      <w:lvlText w:val=""/>
      <w:lvlJc w:val="left"/>
      <w:pPr>
        <w:ind w:left="1026" w:hanging="420"/>
      </w:pPr>
      <w:rPr>
        <w:rFonts w:ascii="Wingdings" w:hAnsi="Wingdings" w:hint="default"/>
      </w:rPr>
    </w:lvl>
    <w:lvl w:ilvl="1" w:tplc="04090003" w:tentative="1">
      <w:start w:val="1"/>
      <w:numFmt w:val="bullet"/>
      <w:lvlText w:val=""/>
      <w:lvlJc w:val="left"/>
      <w:pPr>
        <w:ind w:left="1446" w:hanging="420"/>
      </w:pPr>
      <w:rPr>
        <w:rFonts w:ascii="Wingdings" w:hAnsi="Wingdings" w:hint="default"/>
      </w:rPr>
    </w:lvl>
    <w:lvl w:ilvl="2" w:tplc="04090005"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3" w:tentative="1">
      <w:start w:val="1"/>
      <w:numFmt w:val="bullet"/>
      <w:lvlText w:val=""/>
      <w:lvlJc w:val="left"/>
      <w:pPr>
        <w:ind w:left="2706" w:hanging="420"/>
      </w:pPr>
      <w:rPr>
        <w:rFonts w:ascii="Wingdings" w:hAnsi="Wingdings" w:hint="default"/>
      </w:rPr>
    </w:lvl>
    <w:lvl w:ilvl="5" w:tplc="04090005"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3" w:tentative="1">
      <w:start w:val="1"/>
      <w:numFmt w:val="bullet"/>
      <w:lvlText w:val=""/>
      <w:lvlJc w:val="left"/>
      <w:pPr>
        <w:ind w:left="3966" w:hanging="420"/>
      </w:pPr>
      <w:rPr>
        <w:rFonts w:ascii="Wingdings" w:hAnsi="Wingdings" w:hint="default"/>
      </w:rPr>
    </w:lvl>
    <w:lvl w:ilvl="8" w:tplc="04090005" w:tentative="1">
      <w:start w:val="1"/>
      <w:numFmt w:val="bullet"/>
      <w:lvlText w:val=""/>
      <w:lvlJc w:val="left"/>
      <w:pPr>
        <w:ind w:left="4386" w:hanging="420"/>
      </w:pPr>
      <w:rPr>
        <w:rFonts w:ascii="Wingdings" w:hAnsi="Wingdings" w:hint="default"/>
      </w:rPr>
    </w:lvl>
  </w:abstractNum>
  <w:abstractNum w:abstractNumId="6" w15:restartNumberingAfterBreak="0">
    <w:nsid w:val="13542278"/>
    <w:multiLevelType w:val="multilevel"/>
    <w:tmpl w:val="3D88FB2A"/>
    <w:lvl w:ilvl="0">
      <w:start w:val="1"/>
      <w:numFmt w:val="chineseCountingThousand"/>
      <w:lvlText w:val="%1、"/>
      <w:lvlJc w:val="left"/>
      <w:pPr>
        <w:ind w:left="360" w:hanging="360"/>
      </w:pPr>
      <w:rPr>
        <w:rFonts w:hint="default"/>
      </w:rPr>
    </w:lvl>
    <w:lvl w:ilvl="1">
      <w:start w:val="1"/>
      <w:numFmt w:val="decimal"/>
      <w:isLgl/>
      <w:lvlText w:val="%1.%2"/>
      <w:lvlJc w:val="left"/>
      <w:pPr>
        <w:ind w:left="572"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962352"/>
    <w:multiLevelType w:val="hybridMultilevel"/>
    <w:tmpl w:val="89EA71F4"/>
    <w:lvl w:ilvl="0" w:tplc="04090015">
      <w:start w:val="1"/>
      <w:numFmt w:val="upperLetter"/>
      <w:lvlText w:val="%1."/>
      <w:lvlJc w:val="left"/>
      <w:pPr>
        <w:ind w:left="1026" w:hanging="420"/>
      </w:pPr>
      <w:rPr>
        <w:rFonts w:hint="default"/>
      </w:rPr>
    </w:lvl>
    <w:lvl w:ilvl="1" w:tplc="04090003" w:tentative="1">
      <w:start w:val="1"/>
      <w:numFmt w:val="bullet"/>
      <w:lvlText w:val=""/>
      <w:lvlJc w:val="left"/>
      <w:pPr>
        <w:ind w:left="1446" w:hanging="420"/>
      </w:pPr>
      <w:rPr>
        <w:rFonts w:ascii="Wingdings" w:hAnsi="Wingdings" w:hint="default"/>
      </w:rPr>
    </w:lvl>
    <w:lvl w:ilvl="2" w:tplc="04090005"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3" w:tentative="1">
      <w:start w:val="1"/>
      <w:numFmt w:val="bullet"/>
      <w:lvlText w:val=""/>
      <w:lvlJc w:val="left"/>
      <w:pPr>
        <w:ind w:left="2706" w:hanging="420"/>
      </w:pPr>
      <w:rPr>
        <w:rFonts w:ascii="Wingdings" w:hAnsi="Wingdings" w:hint="default"/>
      </w:rPr>
    </w:lvl>
    <w:lvl w:ilvl="5" w:tplc="04090005"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3" w:tentative="1">
      <w:start w:val="1"/>
      <w:numFmt w:val="bullet"/>
      <w:lvlText w:val=""/>
      <w:lvlJc w:val="left"/>
      <w:pPr>
        <w:ind w:left="3966" w:hanging="420"/>
      </w:pPr>
      <w:rPr>
        <w:rFonts w:ascii="Wingdings" w:hAnsi="Wingdings" w:hint="default"/>
      </w:rPr>
    </w:lvl>
    <w:lvl w:ilvl="8" w:tplc="04090005" w:tentative="1">
      <w:start w:val="1"/>
      <w:numFmt w:val="bullet"/>
      <w:lvlText w:val=""/>
      <w:lvlJc w:val="left"/>
      <w:pPr>
        <w:ind w:left="4386" w:hanging="420"/>
      </w:pPr>
      <w:rPr>
        <w:rFonts w:ascii="Wingdings" w:hAnsi="Wingdings" w:hint="default"/>
      </w:rPr>
    </w:lvl>
  </w:abstractNum>
  <w:abstractNum w:abstractNumId="8" w15:restartNumberingAfterBreak="0">
    <w:nsid w:val="2663703E"/>
    <w:multiLevelType w:val="multilevel"/>
    <w:tmpl w:val="BB1A5F7C"/>
    <w:lvl w:ilvl="0">
      <w:start w:val="1"/>
      <w:numFmt w:val="decimal"/>
      <w:lvlText w:val="%1."/>
      <w:lvlJc w:val="left"/>
      <w:pPr>
        <w:ind w:left="360" w:hanging="360"/>
      </w:pPr>
      <w:rPr>
        <w:rFonts w:hint="default"/>
      </w:rPr>
    </w:lvl>
    <w:lvl w:ilvl="1">
      <w:start w:val="1"/>
      <w:numFmt w:val="decimal"/>
      <w:isLgl/>
      <w:lvlText w:val="%1.%2"/>
      <w:lvlJc w:val="left"/>
      <w:pPr>
        <w:ind w:left="430"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7813552"/>
    <w:multiLevelType w:val="hybridMultilevel"/>
    <w:tmpl w:val="DF8456B0"/>
    <w:lvl w:ilvl="0" w:tplc="E998F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AA7567"/>
    <w:multiLevelType w:val="hybridMultilevel"/>
    <w:tmpl w:val="7A5221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05107A"/>
    <w:multiLevelType w:val="hybridMultilevel"/>
    <w:tmpl w:val="A474A658"/>
    <w:lvl w:ilvl="0" w:tplc="04090001">
      <w:start w:val="1"/>
      <w:numFmt w:val="bullet"/>
      <w:lvlText w:val=""/>
      <w:lvlJc w:val="left"/>
      <w:pPr>
        <w:ind w:left="1026" w:hanging="420"/>
      </w:pPr>
      <w:rPr>
        <w:rFonts w:ascii="Wingdings" w:hAnsi="Wingdings" w:hint="default"/>
      </w:rPr>
    </w:lvl>
    <w:lvl w:ilvl="1" w:tplc="04090003" w:tentative="1">
      <w:start w:val="1"/>
      <w:numFmt w:val="bullet"/>
      <w:lvlText w:val=""/>
      <w:lvlJc w:val="left"/>
      <w:pPr>
        <w:ind w:left="1446" w:hanging="420"/>
      </w:pPr>
      <w:rPr>
        <w:rFonts w:ascii="Wingdings" w:hAnsi="Wingdings" w:hint="default"/>
      </w:rPr>
    </w:lvl>
    <w:lvl w:ilvl="2" w:tplc="04090005"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3" w:tentative="1">
      <w:start w:val="1"/>
      <w:numFmt w:val="bullet"/>
      <w:lvlText w:val=""/>
      <w:lvlJc w:val="left"/>
      <w:pPr>
        <w:ind w:left="2706" w:hanging="420"/>
      </w:pPr>
      <w:rPr>
        <w:rFonts w:ascii="Wingdings" w:hAnsi="Wingdings" w:hint="default"/>
      </w:rPr>
    </w:lvl>
    <w:lvl w:ilvl="5" w:tplc="04090005"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3" w:tentative="1">
      <w:start w:val="1"/>
      <w:numFmt w:val="bullet"/>
      <w:lvlText w:val=""/>
      <w:lvlJc w:val="left"/>
      <w:pPr>
        <w:ind w:left="3966" w:hanging="420"/>
      </w:pPr>
      <w:rPr>
        <w:rFonts w:ascii="Wingdings" w:hAnsi="Wingdings" w:hint="default"/>
      </w:rPr>
    </w:lvl>
    <w:lvl w:ilvl="8" w:tplc="04090005" w:tentative="1">
      <w:start w:val="1"/>
      <w:numFmt w:val="bullet"/>
      <w:lvlText w:val=""/>
      <w:lvlJc w:val="left"/>
      <w:pPr>
        <w:ind w:left="4386" w:hanging="420"/>
      </w:pPr>
      <w:rPr>
        <w:rFonts w:ascii="Wingdings" w:hAnsi="Wingdings" w:hint="default"/>
      </w:rPr>
    </w:lvl>
  </w:abstractNum>
  <w:abstractNum w:abstractNumId="12" w15:restartNumberingAfterBreak="0">
    <w:nsid w:val="52BC3AC0"/>
    <w:multiLevelType w:val="multilevel"/>
    <w:tmpl w:val="54A25A62"/>
    <w:lvl w:ilvl="0">
      <w:start w:val="1"/>
      <w:numFmt w:val="decimal"/>
      <w:lvlText w:val="%1."/>
      <w:lvlJc w:val="left"/>
      <w:pPr>
        <w:ind w:left="360" w:hanging="360"/>
      </w:pPr>
      <w:rPr>
        <w:rFonts w:hint="default"/>
      </w:rPr>
    </w:lvl>
    <w:lvl w:ilvl="1">
      <w:start w:val="1"/>
      <w:numFmt w:val="chineseCountingThousand"/>
      <w:lvlText w:val="(%2)"/>
      <w:lvlJc w:val="left"/>
      <w:pPr>
        <w:ind w:left="572"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2EC6C7B"/>
    <w:multiLevelType w:val="hybridMultilevel"/>
    <w:tmpl w:val="05E22DFC"/>
    <w:lvl w:ilvl="0" w:tplc="8A48947A">
      <w:start w:val="1"/>
      <w:numFmt w:val="japaneseCounting"/>
      <w:lvlText w:val="%1、"/>
      <w:lvlJc w:val="left"/>
      <w:pPr>
        <w:ind w:left="1839" w:hanging="420"/>
      </w:pPr>
      <w:rPr>
        <w:rFonts w:ascii="仿宋_GB2312" w:eastAsia="仿宋_GB2312" w:hAnsi="仿宋" w:cstheme="minorBidi"/>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15:restartNumberingAfterBreak="0">
    <w:nsid w:val="5F0A6029"/>
    <w:multiLevelType w:val="hybridMultilevel"/>
    <w:tmpl w:val="AE5233BA"/>
    <w:lvl w:ilvl="0" w:tplc="0409000F">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15:restartNumberingAfterBreak="0">
    <w:nsid w:val="603938BC"/>
    <w:multiLevelType w:val="multilevel"/>
    <w:tmpl w:val="BB1A5F7C"/>
    <w:lvl w:ilvl="0">
      <w:start w:val="1"/>
      <w:numFmt w:val="decimal"/>
      <w:lvlText w:val="%1."/>
      <w:lvlJc w:val="left"/>
      <w:pPr>
        <w:ind w:left="360" w:hanging="360"/>
      </w:pPr>
      <w:rPr>
        <w:rFonts w:hint="default"/>
      </w:rPr>
    </w:lvl>
    <w:lvl w:ilvl="1">
      <w:start w:val="1"/>
      <w:numFmt w:val="decimal"/>
      <w:isLgl/>
      <w:lvlText w:val="%1.%2"/>
      <w:lvlJc w:val="left"/>
      <w:pPr>
        <w:ind w:left="572"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2B630CF"/>
    <w:multiLevelType w:val="multilevel"/>
    <w:tmpl w:val="7424EE3E"/>
    <w:lvl w:ilvl="0">
      <w:start w:val="1"/>
      <w:numFmt w:val="decimal"/>
      <w:lvlText w:val="%1."/>
      <w:lvlJc w:val="left"/>
      <w:pPr>
        <w:ind w:left="360" w:hanging="360"/>
      </w:pPr>
      <w:rPr>
        <w:rFonts w:hint="default"/>
      </w:rPr>
    </w:lvl>
    <w:lvl w:ilvl="1">
      <w:start w:val="1"/>
      <w:numFmt w:val="chineseCountingThousand"/>
      <w:lvlText w:val="(%2)"/>
      <w:lvlJc w:val="left"/>
      <w:pPr>
        <w:ind w:left="572"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61B799E"/>
    <w:multiLevelType w:val="hybridMultilevel"/>
    <w:tmpl w:val="CDC453AA"/>
    <w:lvl w:ilvl="0" w:tplc="04090001">
      <w:start w:val="1"/>
      <w:numFmt w:val="bullet"/>
      <w:lvlText w:val=""/>
      <w:lvlJc w:val="left"/>
      <w:pPr>
        <w:ind w:left="1026" w:hanging="420"/>
      </w:pPr>
      <w:rPr>
        <w:rFonts w:ascii="Wingdings" w:hAnsi="Wingdings" w:hint="default"/>
      </w:rPr>
    </w:lvl>
    <w:lvl w:ilvl="1" w:tplc="04090003" w:tentative="1">
      <w:start w:val="1"/>
      <w:numFmt w:val="bullet"/>
      <w:lvlText w:val=""/>
      <w:lvlJc w:val="left"/>
      <w:pPr>
        <w:ind w:left="1446" w:hanging="420"/>
      </w:pPr>
      <w:rPr>
        <w:rFonts w:ascii="Wingdings" w:hAnsi="Wingdings" w:hint="default"/>
      </w:rPr>
    </w:lvl>
    <w:lvl w:ilvl="2" w:tplc="04090005"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3" w:tentative="1">
      <w:start w:val="1"/>
      <w:numFmt w:val="bullet"/>
      <w:lvlText w:val=""/>
      <w:lvlJc w:val="left"/>
      <w:pPr>
        <w:ind w:left="2706" w:hanging="420"/>
      </w:pPr>
      <w:rPr>
        <w:rFonts w:ascii="Wingdings" w:hAnsi="Wingdings" w:hint="default"/>
      </w:rPr>
    </w:lvl>
    <w:lvl w:ilvl="5" w:tplc="04090005"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3" w:tentative="1">
      <w:start w:val="1"/>
      <w:numFmt w:val="bullet"/>
      <w:lvlText w:val=""/>
      <w:lvlJc w:val="left"/>
      <w:pPr>
        <w:ind w:left="3966" w:hanging="420"/>
      </w:pPr>
      <w:rPr>
        <w:rFonts w:ascii="Wingdings" w:hAnsi="Wingdings" w:hint="default"/>
      </w:rPr>
    </w:lvl>
    <w:lvl w:ilvl="8" w:tplc="04090005" w:tentative="1">
      <w:start w:val="1"/>
      <w:numFmt w:val="bullet"/>
      <w:lvlText w:val=""/>
      <w:lvlJc w:val="left"/>
      <w:pPr>
        <w:ind w:left="4386" w:hanging="420"/>
      </w:pPr>
      <w:rPr>
        <w:rFonts w:ascii="Wingdings" w:hAnsi="Wingdings" w:hint="default"/>
      </w:rPr>
    </w:lvl>
  </w:abstractNum>
  <w:abstractNum w:abstractNumId="18" w15:restartNumberingAfterBreak="0">
    <w:nsid w:val="6BDE7594"/>
    <w:multiLevelType w:val="hybridMultilevel"/>
    <w:tmpl w:val="3CAE661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74BD5025"/>
    <w:multiLevelType w:val="multilevel"/>
    <w:tmpl w:val="D16E13B4"/>
    <w:lvl w:ilvl="0">
      <w:start w:val="1"/>
      <w:numFmt w:val="decimal"/>
      <w:lvlText w:val="%1."/>
      <w:lvlJc w:val="left"/>
      <w:pPr>
        <w:ind w:left="360" w:hanging="360"/>
      </w:pPr>
      <w:rPr>
        <w:rFonts w:hint="default"/>
      </w:rPr>
    </w:lvl>
    <w:lvl w:ilvl="1">
      <w:start w:val="1"/>
      <w:numFmt w:val="decimal"/>
      <w:lvlText w:val="%2."/>
      <w:lvlJc w:val="left"/>
      <w:pPr>
        <w:ind w:left="572"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5"/>
  </w:num>
  <w:num w:numId="3">
    <w:abstractNumId w:val="10"/>
  </w:num>
  <w:num w:numId="4">
    <w:abstractNumId w:val="4"/>
  </w:num>
  <w:num w:numId="5">
    <w:abstractNumId w:val="17"/>
  </w:num>
  <w:num w:numId="6">
    <w:abstractNumId w:val="8"/>
  </w:num>
  <w:num w:numId="7">
    <w:abstractNumId w:val="2"/>
  </w:num>
  <w:num w:numId="8">
    <w:abstractNumId w:val="18"/>
  </w:num>
  <w:num w:numId="9">
    <w:abstractNumId w:val="14"/>
  </w:num>
  <w:num w:numId="10">
    <w:abstractNumId w:val="1"/>
  </w:num>
  <w:num w:numId="11">
    <w:abstractNumId w:val="0"/>
  </w:num>
  <w:num w:numId="12">
    <w:abstractNumId w:val="3"/>
  </w:num>
  <w:num w:numId="13">
    <w:abstractNumId w:val="13"/>
  </w:num>
  <w:num w:numId="14">
    <w:abstractNumId w:val="11"/>
  </w:num>
  <w:num w:numId="15">
    <w:abstractNumId w:val="5"/>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46"/>
    <w:rsid w:val="0000294D"/>
    <w:rsid w:val="00004CF8"/>
    <w:rsid w:val="00006CBE"/>
    <w:rsid w:val="000140A3"/>
    <w:rsid w:val="00015102"/>
    <w:rsid w:val="00017A1A"/>
    <w:rsid w:val="00017DCD"/>
    <w:rsid w:val="00020D5D"/>
    <w:rsid w:val="00021AC9"/>
    <w:rsid w:val="00021C02"/>
    <w:rsid w:val="000248D7"/>
    <w:rsid w:val="00025F95"/>
    <w:rsid w:val="000262CD"/>
    <w:rsid w:val="000263E8"/>
    <w:rsid w:val="00031884"/>
    <w:rsid w:val="000339C4"/>
    <w:rsid w:val="000342B2"/>
    <w:rsid w:val="0004148F"/>
    <w:rsid w:val="00042DC5"/>
    <w:rsid w:val="0004369D"/>
    <w:rsid w:val="0004466F"/>
    <w:rsid w:val="0004511E"/>
    <w:rsid w:val="000455D8"/>
    <w:rsid w:val="00045D9C"/>
    <w:rsid w:val="00046CD2"/>
    <w:rsid w:val="00046D00"/>
    <w:rsid w:val="00046D2E"/>
    <w:rsid w:val="00046FDC"/>
    <w:rsid w:val="000503C8"/>
    <w:rsid w:val="00050C7D"/>
    <w:rsid w:val="000523DF"/>
    <w:rsid w:val="00052527"/>
    <w:rsid w:val="000558A3"/>
    <w:rsid w:val="00057684"/>
    <w:rsid w:val="0006034B"/>
    <w:rsid w:val="00061781"/>
    <w:rsid w:val="00062B0A"/>
    <w:rsid w:val="00063DEB"/>
    <w:rsid w:val="00065EEE"/>
    <w:rsid w:val="00073432"/>
    <w:rsid w:val="00073947"/>
    <w:rsid w:val="000804C6"/>
    <w:rsid w:val="000850D6"/>
    <w:rsid w:val="0009005D"/>
    <w:rsid w:val="00090559"/>
    <w:rsid w:val="00090BDB"/>
    <w:rsid w:val="000932A2"/>
    <w:rsid w:val="00093589"/>
    <w:rsid w:val="00097527"/>
    <w:rsid w:val="000A146C"/>
    <w:rsid w:val="000A2D7F"/>
    <w:rsid w:val="000A461F"/>
    <w:rsid w:val="000A7F2A"/>
    <w:rsid w:val="000B06F1"/>
    <w:rsid w:val="000B0B21"/>
    <w:rsid w:val="000B5464"/>
    <w:rsid w:val="000B7872"/>
    <w:rsid w:val="000B7C72"/>
    <w:rsid w:val="000B7F6B"/>
    <w:rsid w:val="000C0A01"/>
    <w:rsid w:val="000C2BFD"/>
    <w:rsid w:val="000C375B"/>
    <w:rsid w:val="000C4290"/>
    <w:rsid w:val="000C4F87"/>
    <w:rsid w:val="000C75BF"/>
    <w:rsid w:val="000C7970"/>
    <w:rsid w:val="000C7999"/>
    <w:rsid w:val="000D1329"/>
    <w:rsid w:val="000D2287"/>
    <w:rsid w:val="000E092A"/>
    <w:rsid w:val="000E2016"/>
    <w:rsid w:val="000E57C5"/>
    <w:rsid w:val="000E5FC7"/>
    <w:rsid w:val="000E6D1D"/>
    <w:rsid w:val="000F0084"/>
    <w:rsid w:val="000F4B64"/>
    <w:rsid w:val="000F570A"/>
    <w:rsid w:val="000F710F"/>
    <w:rsid w:val="001006BB"/>
    <w:rsid w:val="00105AE0"/>
    <w:rsid w:val="00114889"/>
    <w:rsid w:val="00116015"/>
    <w:rsid w:val="00116DDB"/>
    <w:rsid w:val="00121930"/>
    <w:rsid w:val="00123275"/>
    <w:rsid w:val="00125B90"/>
    <w:rsid w:val="001268A8"/>
    <w:rsid w:val="00133B6F"/>
    <w:rsid w:val="00135A08"/>
    <w:rsid w:val="00136152"/>
    <w:rsid w:val="00136239"/>
    <w:rsid w:val="001404C0"/>
    <w:rsid w:val="001457EA"/>
    <w:rsid w:val="0015036A"/>
    <w:rsid w:val="001514FD"/>
    <w:rsid w:val="001568E9"/>
    <w:rsid w:val="001571CD"/>
    <w:rsid w:val="00157CD6"/>
    <w:rsid w:val="001615A2"/>
    <w:rsid w:val="00162783"/>
    <w:rsid w:val="00163A8D"/>
    <w:rsid w:val="00163F7F"/>
    <w:rsid w:val="001640AF"/>
    <w:rsid w:val="001643E1"/>
    <w:rsid w:val="00166645"/>
    <w:rsid w:val="00166EC5"/>
    <w:rsid w:val="00171574"/>
    <w:rsid w:val="00173EFE"/>
    <w:rsid w:val="00175BAB"/>
    <w:rsid w:val="00176315"/>
    <w:rsid w:val="001770B7"/>
    <w:rsid w:val="00180918"/>
    <w:rsid w:val="0018117F"/>
    <w:rsid w:val="00182561"/>
    <w:rsid w:val="00183A10"/>
    <w:rsid w:val="001858FF"/>
    <w:rsid w:val="00187CA9"/>
    <w:rsid w:val="001921F9"/>
    <w:rsid w:val="00192478"/>
    <w:rsid w:val="001974E4"/>
    <w:rsid w:val="001A12B7"/>
    <w:rsid w:val="001A450B"/>
    <w:rsid w:val="001A45BC"/>
    <w:rsid w:val="001B08B7"/>
    <w:rsid w:val="001B1F6E"/>
    <w:rsid w:val="001B34C6"/>
    <w:rsid w:val="001B379C"/>
    <w:rsid w:val="001B6B3B"/>
    <w:rsid w:val="001B6DE3"/>
    <w:rsid w:val="001C3738"/>
    <w:rsid w:val="001C42C2"/>
    <w:rsid w:val="001C450A"/>
    <w:rsid w:val="001C553E"/>
    <w:rsid w:val="001C724D"/>
    <w:rsid w:val="001C7A2F"/>
    <w:rsid w:val="001D3287"/>
    <w:rsid w:val="001D7154"/>
    <w:rsid w:val="001E2845"/>
    <w:rsid w:val="001E3881"/>
    <w:rsid w:val="001E4252"/>
    <w:rsid w:val="001E4432"/>
    <w:rsid w:val="001E6281"/>
    <w:rsid w:val="001F04B2"/>
    <w:rsid w:val="001F21F1"/>
    <w:rsid w:val="001F2E22"/>
    <w:rsid w:val="001F30D0"/>
    <w:rsid w:val="001F7604"/>
    <w:rsid w:val="00202C3A"/>
    <w:rsid w:val="0020387F"/>
    <w:rsid w:val="00204573"/>
    <w:rsid w:val="00204B6B"/>
    <w:rsid w:val="00212103"/>
    <w:rsid w:val="00220839"/>
    <w:rsid w:val="0022259E"/>
    <w:rsid w:val="00223E28"/>
    <w:rsid w:val="00224796"/>
    <w:rsid w:val="00226040"/>
    <w:rsid w:val="00226323"/>
    <w:rsid w:val="00234BF4"/>
    <w:rsid w:val="00235DD1"/>
    <w:rsid w:val="002365A9"/>
    <w:rsid w:val="00244E07"/>
    <w:rsid w:val="002459DD"/>
    <w:rsid w:val="00245D70"/>
    <w:rsid w:val="002464B0"/>
    <w:rsid w:val="00250A4D"/>
    <w:rsid w:val="0025375E"/>
    <w:rsid w:val="00254D14"/>
    <w:rsid w:val="00257A45"/>
    <w:rsid w:val="002704D6"/>
    <w:rsid w:val="00270ADD"/>
    <w:rsid w:val="00271196"/>
    <w:rsid w:val="00271E72"/>
    <w:rsid w:val="00272089"/>
    <w:rsid w:val="00272AFC"/>
    <w:rsid w:val="002808D1"/>
    <w:rsid w:val="0028150C"/>
    <w:rsid w:val="00283410"/>
    <w:rsid w:val="00285114"/>
    <w:rsid w:val="002872FD"/>
    <w:rsid w:val="002959B1"/>
    <w:rsid w:val="002A2665"/>
    <w:rsid w:val="002A42CC"/>
    <w:rsid w:val="002A525C"/>
    <w:rsid w:val="002A5760"/>
    <w:rsid w:val="002A7431"/>
    <w:rsid w:val="002B3B42"/>
    <w:rsid w:val="002B676C"/>
    <w:rsid w:val="002C072F"/>
    <w:rsid w:val="002C1656"/>
    <w:rsid w:val="002C544B"/>
    <w:rsid w:val="002C6637"/>
    <w:rsid w:val="002C6A25"/>
    <w:rsid w:val="002D01A4"/>
    <w:rsid w:val="002D1A75"/>
    <w:rsid w:val="002D30F6"/>
    <w:rsid w:val="002D433C"/>
    <w:rsid w:val="002D5FFE"/>
    <w:rsid w:val="002E31EF"/>
    <w:rsid w:val="002E3672"/>
    <w:rsid w:val="002E579A"/>
    <w:rsid w:val="002E7DFE"/>
    <w:rsid w:val="002F0709"/>
    <w:rsid w:val="002F1221"/>
    <w:rsid w:val="002F312E"/>
    <w:rsid w:val="002F7324"/>
    <w:rsid w:val="0030205B"/>
    <w:rsid w:val="003025AF"/>
    <w:rsid w:val="00302BE6"/>
    <w:rsid w:val="003048CF"/>
    <w:rsid w:val="00304AAC"/>
    <w:rsid w:val="0031416A"/>
    <w:rsid w:val="00314951"/>
    <w:rsid w:val="00321E4B"/>
    <w:rsid w:val="003265D7"/>
    <w:rsid w:val="003274ED"/>
    <w:rsid w:val="00330160"/>
    <w:rsid w:val="00335267"/>
    <w:rsid w:val="003352FB"/>
    <w:rsid w:val="00336736"/>
    <w:rsid w:val="0033726F"/>
    <w:rsid w:val="0034099A"/>
    <w:rsid w:val="00346276"/>
    <w:rsid w:val="0035247F"/>
    <w:rsid w:val="00354D82"/>
    <w:rsid w:val="003559F7"/>
    <w:rsid w:val="00356836"/>
    <w:rsid w:val="00357FC9"/>
    <w:rsid w:val="0036336A"/>
    <w:rsid w:val="00363FBC"/>
    <w:rsid w:val="00367473"/>
    <w:rsid w:val="003716C2"/>
    <w:rsid w:val="0037204D"/>
    <w:rsid w:val="003722C8"/>
    <w:rsid w:val="00372CC7"/>
    <w:rsid w:val="00373036"/>
    <w:rsid w:val="00373851"/>
    <w:rsid w:val="00374C3A"/>
    <w:rsid w:val="003779BE"/>
    <w:rsid w:val="00380BE4"/>
    <w:rsid w:val="00380DFD"/>
    <w:rsid w:val="003828A0"/>
    <w:rsid w:val="00382BD3"/>
    <w:rsid w:val="003A29C2"/>
    <w:rsid w:val="003A7BE0"/>
    <w:rsid w:val="003A7F2C"/>
    <w:rsid w:val="003B2601"/>
    <w:rsid w:val="003B29EF"/>
    <w:rsid w:val="003B4449"/>
    <w:rsid w:val="003B6891"/>
    <w:rsid w:val="003B6D01"/>
    <w:rsid w:val="003B7305"/>
    <w:rsid w:val="003C11C8"/>
    <w:rsid w:val="003C1F2C"/>
    <w:rsid w:val="003C2717"/>
    <w:rsid w:val="003C2CE9"/>
    <w:rsid w:val="003C4736"/>
    <w:rsid w:val="003D19D8"/>
    <w:rsid w:val="003D1E53"/>
    <w:rsid w:val="003D224E"/>
    <w:rsid w:val="003D6BBC"/>
    <w:rsid w:val="003D72CE"/>
    <w:rsid w:val="003D7D82"/>
    <w:rsid w:val="003E015C"/>
    <w:rsid w:val="003E44FB"/>
    <w:rsid w:val="003E7D26"/>
    <w:rsid w:val="003F1005"/>
    <w:rsid w:val="003F3EBD"/>
    <w:rsid w:val="003F656E"/>
    <w:rsid w:val="003F7446"/>
    <w:rsid w:val="00404429"/>
    <w:rsid w:val="004059BB"/>
    <w:rsid w:val="00412AE6"/>
    <w:rsid w:val="00417D6E"/>
    <w:rsid w:val="00422B5E"/>
    <w:rsid w:val="00426B4B"/>
    <w:rsid w:val="0043017C"/>
    <w:rsid w:val="00440B6E"/>
    <w:rsid w:val="004425CD"/>
    <w:rsid w:val="004444AE"/>
    <w:rsid w:val="00444A18"/>
    <w:rsid w:val="0044637F"/>
    <w:rsid w:val="00450C43"/>
    <w:rsid w:val="00450FB7"/>
    <w:rsid w:val="004514B4"/>
    <w:rsid w:val="0045196A"/>
    <w:rsid w:val="00452881"/>
    <w:rsid w:val="00454546"/>
    <w:rsid w:val="00460379"/>
    <w:rsid w:val="00461292"/>
    <w:rsid w:val="00462560"/>
    <w:rsid w:val="00470472"/>
    <w:rsid w:val="00470980"/>
    <w:rsid w:val="00470A73"/>
    <w:rsid w:val="004731F2"/>
    <w:rsid w:val="00474635"/>
    <w:rsid w:val="0047571F"/>
    <w:rsid w:val="0048027A"/>
    <w:rsid w:val="00480B54"/>
    <w:rsid w:val="00483D3F"/>
    <w:rsid w:val="00487BAA"/>
    <w:rsid w:val="004905AC"/>
    <w:rsid w:val="00492266"/>
    <w:rsid w:val="00492D7F"/>
    <w:rsid w:val="00495A5B"/>
    <w:rsid w:val="00497521"/>
    <w:rsid w:val="004A1CD5"/>
    <w:rsid w:val="004A2295"/>
    <w:rsid w:val="004A3C9F"/>
    <w:rsid w:val="004A6FE3"/>
    <w:rsid w:val="004B0F9E"/>
    <w:rsid w:val="004B1971"/>
    <w:rsid w:val="004B2E71"/>
    <w:rsid w:val="004B4AD3"/>
    <w:rsid w:val="004B62D5"/>
    <w:rsid w:val="004C02DF"/>
    <w:rsid w:val="004C1576"/>
    <w:rsid w:val="004C166B"/>
    <w:rsid w:val="004C2D78"/>
    <w:rsid w:val="004C3BDA"/>
    <w:rsid w:val="004C6095"/>
    <w:rsid w:val="004C62ED"/>
    <w:rsid w:val="004C63BD"/>
    <w:rsid w:val="004D2F42"/>
    <w:rsid w:val="004D3184"/>
    <w:rsid w:val="004D408B"/>
    <w:rsid w:val="004D7641"/>
    <w:rsid w:val="004D7D39"/>
    <w:rsid w:val="004E08B6"/>
    <w:rsid w:val="004E619D"/>
    <w:rsid w:val="004E76EA"/>
    <w:rsid w:val="004E7A47"/>
    <w:rsid w:val="004F14D4"/>
    <w:rsid w:val="005031E6"/>
    <w:rsid w:val="005135B7"/>
    <w:rsid w:val="005137F1"/>
    <w:rsid w:val="00514045"/>
    <w:rsid w:val="00514BF9"/>
    <w:rsid w:val="005208F2"/>
    <w:rsid w:val="00521C14"/>
    <w:rsid w:val="00523AD1"/>
    <w:rsid w:val="00524B5C"/>
    <w:rsid w:val="0052677B"/>
    <w:rsid w:val="00526858"/>
    <w:rsid w:val="005349ED"/>
    <w:rsid w:val="005376D9"/>
    <w:rsid w:val="005401FF"/>
    <w:rsid w:val="00540944"/>
    <w:rsid w:val="005411F2"/>
    <w:rsid w:val="00541566"/>
    <w:rsid w:val="00542503"/>
    <w:rsid w:val="005466B5"/>
    <w:rsid w:val="005507AE"/>
    <w:rsid w:val="00552F48"/>
    <w:rsid w:val="0055708C"/>
    <w:rsid w:val="00561A2F"/>
    <w:rsid w:val="0056459C"/>
    <w:rsid w:val="00564830"/>
    <w:rsid w:val="005707DF"/>
    <w:rsid w:val="00574735"/>
    <w:rsid w:val="00574A62"/>
    <w:rsid w:val="00576F4E"/>
    <w:rsid w:val="00577B73"/>
    <w:rsid w:val="00583B91"/>
    <w:rsid w:val="00583BFF"/>
    <w:rsid w:val="00584DCF"/>
    <w:rsid w:val="00585BD0"/>
    <w:rsid w:val="0058785C"/>
    <w:rsid w:val="00590906"/>
    <w:rsid w:val="00592E89"/>
    <w:rsid w:val="00593E94"/>
    <w:rsid w:val="00597C2B"/>
    <w:rsid w:val="005A341E"/>
    <w:rsid w:val="005A5831"/>
    <w:rsid w:val="005B34F7"/>
    <w:rsid w:val="005B37FE"/>
    <w:rsid w:val="005B41D2"/>
    <w:rsid w:val="005B57C0"/>
    <w:rsid w:val="005B5AB0"/>
    <w:rsid w:val="005B664D"/>
    <w:rsid w:val="005C0BFA"/>
    <w:rsid w:val="005C2A61"/>
    <w:rsid w:val="005C356F"/>
    <w:rsid w:val="005D3118"/>
    <w:rsid w:val="005D4621"/>
    <w:rsid w:val="005D7B61"/>
    <w:rsid w:val="005E010E"/>
    <w:rsid w:val="005E1849"/>
    <w:rsid w:val="005E3A3D"/>
    <w:rsid w:val="005E3B44"/>
    <w:rsid w:val="005E41DB"/>
    <w:rsid w:val="005E466A"/>
    <w:rsid w:val="005E6592"/>
    <w:rsid w:val="005F44AD"/>
    <w:rsid w:val="005F7985"/>
    <w:rsid w:val="0060055B"/>
    <w:rsid w:val="0060254C"/>
    <w:rsid w:val="006043C6"/>
    <w:rsid w:val="006050E8"/>
    <w:rsid w:val="006108F4"/>
    <w:rsid w:val="00610C76"/>
    <w:rsid w:val="006125C4"/>
    <w:rsid w:val="006137DB"/>
    <w:rsid w:val="00615D9E"/>
    <w:rsid w:val="0061742C"/>
    <w:rsid w:val="00617F32"/>
    <w:rsid w:val="00621CCA"/>
    <w:rsid w:val="006230C9"/>
    <w:rsid w:val="00623794"/>
    <w:rsid w:val="006247B6"/>
    <w:rsid w:val="00624818"/>
    <w:rsid w:val="006332E6"/>
    <w:rsid w:val="006345AE"/>
    <w:rsid w:val="00636333"/>
    <w:rsid w:val="00640352"/>
    <w:rsid w:val="006428AE"/>
    <w:rsid w:val="0064433E"/>
    <w:rsid w:val="0065234E"/>
    <w:rsid w:val="00652925"/>
    <w:rsid w:val="0065476F"/>
    <w:rsid w:val="006554AD"/>
    <w:rsid w:val="00655F15"/>
    <w:rsid w:val="00660314"/>
    <w:rsid w:val="0066230E"/>
    <w:rsid w:val="00663022"/>
    <w:rsid w:val="0066541A"/>
    <w:rsid w:val="00666425"/>
    <w:rsid w:val="006670ED"/>
    <w:rsid w:val="006842A4"/>
    <w:rsid w:val="00687520"/>
    <w:rsid w:val="00687A18"/>
    <w:rsid w:val="00691C20"/>
    <w:rsid w:val="00695446"/>
    <w:rsid w:val="006957AF"/>
    <w:rsid w:val="00695F6B"/>
    <w:rsid w:val="006A0D5A"/>
    <w:rsid w:val="006A1157"/>
    <w:rsid w:val="006A1347"/>
    <w:rsid w:val="006A2DF4"/>
    <w:rsid w:val="006A3ED4"/>
    <w:rsid w:val="006A4030"/>
    <w:rsid w:val="006A42CC"/>
    <w:rsid w:val="006B19DF"/>
    <w:rsid w:val="006B1AC2"/>
    <w:rsid w:val="006B26DE"/>
    <w:rsid w:val="006B28DF"/>
    <w:rsid w:val="006B30C8"/>
    <w:rsid w:val="006C4D11"/>
    <w:rsid w:val="006C6DA1"/>
    <w:rsid w:val="006C7F90"/>
    <w:rsid w:val="006D00FD"/>
    <w:rsid w:val="006D08FA"/>
    <w:rsid w:val="006D6D58"/>
    <w:rsid w:val="006D6E0D"/>
    <w:rsid w:val="006E307C"/>
    <w:rsid w:val="006E48F6"/>
    <w:rsid w:val="006E4CBA"/>
    <w:rsid w:val="006E6656"/>
    <w:rsid w:val="006F06C3"/>
    <w:rsid w:val="006F4319"/>
    <w:rsid w:val="006F61A4"/>
    <w:rsid w:val="006F764D"/>
    <w:rsid w:val="00703C5C"/>
    <w:rsid w:val="0070481F"/>
    <w:rsid w:val="0071051A"/>
    <w:rsid w:val="00711107"/>
    <w:rsid w:val="00716186"/>
    <w:rsid w:val="0071662D"/>
    <w:rsid w:val="00716E1B"/>
    <w:rsid w:val="00717218"/>
    <w:rsid w:val="007176A9"/>
    <w:rsid w:val="0072038E"/>
    <w:rsid w:val="00720D2E"/>
    <w:rsid w:val="00720FE4"/>
    <w:rsid w:val="007210CE"/>
    <w:rsid w:val="00721C68"/>
    <w:rsid w:val="0072221C"/>
    <w:rsid w:val="0072246A"/>
    <w:rsid w:val="0072489C"/>
    <w:rsid w:val="007251E8"/>
    <w:rsid w:val="00727110"/>
    <w:rsid w:val="00727ADF"/>
    <w:rsid w:val="00732EBC"/>
    <w:rsid w:val="00736E61"/>
    <w:rsid w:val="0073760F"/>
    <w:rsid w:val="00737AD4"/>
    <w:rsid w:val="00742EF4"/>
    <w:rsid w:val="007432D4"/>
    <w:rsid w:val="007455B8"/>
    <w:rsid w:val="00746082"/>
    <w:rsid w:val="0075071C"/>
    <w:rsid w:val="00753DED"/>
    <w:rsid w:val="00753E7F"/>
    <w:rsid w:val="00754403"/>
    <w:rsid w:val="00755B65"/>
    <w:rsid w:val="00764B7A"/>
    <w:rsid w:val="00764F21"/>
    <w:rsid w:val="0076678E"/>
    <w:rsid w:val="0076683C"/>
    <w:rsid w:val="007673DA"/>
    <w:rsid w:val="007678BE"/>
    <w:rsid w:val="00773484"/>
    <w:rsid w:val="00774384"/>
    <w:rsid w:val="007822D1"/>
    <w:rsid w:val="00783FA1"/>
    <w:rsid w:val="007863CC"/>
    <w:rsid w:val="00792C5C"/>
    <w:rsid w:val="00792C71"/>
    <w:rsid w:val="00795A90"/>
    <w:rsid w:val="007968A2"/>
    <w:rsid w:val="00796FA7"/>
    <w:rsid w:val="007A01ED"/>
    <w:rsid w:val="007A06DD"/>
    <w:rsid w:val="007A765B"/>
    <w:rsid w:val="007A7FB7"/>
    <w:rsid w:val="007B0B06"/>
    <w:rsid w:val="007B0B7E"/>
    <w:rsid w:val="007B1615"/>
    <w:rsid w:val="007B1D05"/>
    <w:rsid w:val="007D080C"/>
    <w:rsid w:val="007D1DC8"/>
    <w:rsid w:val="007D2003"/>
    <w:rsid w:val="007D79A9"/>
    <w:rsid w:val="007E0109"/>
    <w:rsid w:val="007E0354"/>
    <w:rsid w:val="007E0940"/>
    <w:rsid w:val="007E0F1C"/>
    <w:rsid w:val="007E0F58"/>
    <w:rsid w:val="007E2BE7"/>
    <w:rsid w:val="007E502E"/>
    <w:rsid w:val="007E5976"/>
    <w:rsid w:val="007E6B3C"/>
    <w:rsid w:val="007E7671"/>
    <w:rsid w:val="007E7B0C"/>
    <w:rsid w:val="007F292C"/>
    <w:rsid w:val="007F7F37"/>
    <w:rsid w:val="008024C9"/>
    <w:rsid w:val="008040BB"/>
    <w:rsid w:val="008126B9"/>
    <w:rsid w:val="00813A0B"/>
    <w:rsid w:val="00815DDB"/>
    <w:rsid w:val="00816D12"/>
    <w:rsid w:val="00817418"/>
    <w:rsid w:val="0082323D"/>
    <w:rsid w:val="00825157"/>
    <w:rsid w:val="008313F8"/>
    <w:rsid w:val="00832AFF"/>
    <w:rsid w:val="008420B2"/>
    <w:rsid w:val="008429FF"/>
    <w:rsid w:val="008444A3"/>
    <w:rsid w:val="00844F84"/>
    <w:rsid w:val="00847F2F"/>
    <w:rsid w:val="00847F62"/>
    <w:rsid w:val="00853D24"/>
    <w:rsid w:val="00854C7E"/>
    <w:rsid w:val="008615D7"/>
    <w:rsid w:val="0086206A"/>
    <w:rsid w:val="008620F8"/>
    <w:rsid w:val="00862674"/>
    <w:rsid w:val="00863137"/>
    <w:rsid w:val="0086318D"/>
    <w:rsid w:val="008633E4"/>
    <w:rsid w:val="00872F32"/>
    <w:rsid w:val="008752C5"/>
    <w:rsid w:val="00880A47"/>
    <w:rsid w:val="0088176B"/>
    <w:rsid w:val="008930C0"/>
    <w:rsid w:val="00894625"/>
    <w:rsid w:val="00895094"/>
    <w:rsid w:val="0089741B"/>
    <w:rsid w:val="008A0CBB"/>
    <w:rsid w:val="008A2A41"/>
    <w:rsid w:val="008A4007"/>
    <w:rsid w:val="008A46B8"/>
    <w:rsid w:val="008A4D85"/>
    <w:rsid w:val="008A6CAD"/>
    <w:rsid w:val="008A6E22"/>
    <w:rsid w:val="008A7A05"/>
    <w:rsid w:val="008B0061"/>
    <w:rsid w:val="008B0660"/>
    <w:rsid w:val="008B2EA7"/>
    <w:rsid w:val="008B5633"/>
    <w:rsid w:val="008B5BA4"/>
    <w:rsid w:val="008B77A4"/>
    <w:rsid w:val="008C27A5"/>
    <w:rsid w:val="008C2FF5"/>
    <w:rsid w:val="008C5D8E"/>
    <w:rsid w:val="008D031E"/>
    <w:rsid w:val="008D0F6B"/>
    <w:rsid w:val="008D2DBF"/>
    <w:rsid w:val="008D5155"/>
    <w:rsid w:val="008D6FC5"/>
    <w:rsid w:val="008D73E4"/>
    <w:rsid w:val="008D7B7B"/>
    <w:rsid w:val="008E0534"/>
    <w:rsid w:val="008E189A"/>
    <w:rsid w:val="008E1F0E"/>
    <w:rsid w:val="008E2B22"/>
    <w:rsid w:val="008E7274"/>
    <w:rsid w:val="008E77DC"/>
    <w:rsid w:val="008F01A1"/>
    <w:rsid w:val="008F02C7"/>
    <w:rsid w:val="008F310F"/>
    <w:rsid w:val="008F4204"/>
    <w:rsid w:val="008F4DFC"/>
    <w:rsid w:val="008F7F9E"/>
    <w:rsid w:val="009036D7"/>
    <w:rsid w:val="009044CE"/>
    <w:rsid w:val="00904E2A"/>
    <w:rsid w:val="009112EC"/>
    <w:rsid w:val="00912409"/>
    <w:rsid w:val="0091267F"/>
    <w:rsid w:val="00915D3B"/>
    <w:rsid w:val="00916F27"/>
    <w:rsid w:val="009174DE"/>
    <w:rsid w:val="00917C3D"/>
    <w:rsid w:val="0092149D"/>
    <w:rsid w:val="009224DA"/>
    <w:rsid w:val="00924C6D"/>
    <w:rsid w:val="00930C53"/>
    <w:rsid w:val="00937F46"/>
    <w:rsid w:val="00942C62"/>
    <w:rsid w:val="00943F71"/>
    <w:rsid w:val="00946911"/>
    <w:rsid w:val="00946E1E"/>
    <w:rsid w:val="00954D66"/>
    <w:rsid w:val="00956DC6"/>
    <w:rsid w:val="00957AB8"/>
    <w:rsid w:val="0096030D"/>
    <w:rsid w:val="00963236"/>
    <w:rsid w:val="009641E0"/>
    <w:rsid w:val="00972EAB"/>
    <w:rsid w:val="00975D70"/>
    <w:rsid w:val="00980ADD"/>
    <w:rsid w:val="00983428"/>
    <w:rsid w:val="00983DBD"/>
    <w:rsid w:val="00986F80"/>
    <w:rsid w:val="00987BE8"/>
    <w:rsid w:val="0099019B"/>
    <w:rsid w:val="00991B37"/>
    <w:rsid w:val="00991B92"/>
    <w:rsid w:val="009921DF"/>
    <w:rsid w:val="00994709"/>
    <w:rsid w:val="00994BD6"/>
    <w:rsid w:val="0099534B"/>
    <w:rsid w:val="009968FF"/>
    <w:rsid w:val="009A0E87"/>
    <w:rsid w:val="009A0F24"/>
    <w:rsid w:val="009A2980"/>
    <w:rsid w:val="009A37C5"/>
    <w:rsid w:val="009A6992"/>
    <w:rsid w:val="009A7190"/>
    <w:rsid w:val="009B0F48"/>
    <w:rsid w:val="009B4D25"/>
    <w:rsid w:val="009C0202"/>
    <w:rsid w:val="009C0627"/>
    <w:rsid w:val="009C3913"/>
    <w:rsid w:val="009C7AAC"/>
    <w:rsid w:val="009D1612"/>
    <w:rsid w:val="009D17C8"/>
    <w:rsid w:val="009D2217"/>
    <w:rsid w:val="009D671D"/>
    <w:rsid w:val="009D720C"/>
    <w:rsid w:val="009E162A"/>
    <w:rsid w:val="009E3CFD"/>
    <w:rsid w:val="009E3FCA"/>
    <w:rsid w:val="009E4E6D"/>
    <w:rsid w:val="009E5255"/>
    <w:rsid w:val="009E6482"/>
    <w:rsid w:val="009F2651"/>
    <w:rsid w:val="009F2870"/>
    <w:rsid w:val="009F37DF"/>
    <w:rsid w:val="009F41B5"/>
    <w:rsid w:val="009F58B2"/>
    <w:rsid w:val="009F619C"/>
    <w:rsid w:val="009F6B23"/>
    <w:rsid w:val="00A027C3"/>
    <w:rsid w:val="00A05ACA"/>
    <w:rsid w:val="00A063BE"/>
    <w:rsid w:val="00A06C96"/>
    <w:rsid w:val="00A130D0"/>
    <w:rsid w:val="00A149C8"/>
    <w:rsid w:val="00A1585B"/>
    <w:rsid w:val="00A20CE2"/>
    <w:rsid w:val="00A246C3"/>
    <w:rsid w:val="00A25371"/>
    <w:rsid w:val="00A260E0"/>
    <w:rsid w:val="00A27989"/>
    <w:rsid w:val="00A3160F"/>
    <w:rsid w:val="00A3222B"/>
    <w:rsid w:val="00A32262"/>
    <w:rsid w:val="00A4088B"/>
    <w:rsid w:val="00A4413C"/>
    <w:rsid w:val="00A451C1"/>
    <w:rsid w:val="00A45A1D"/>
    <w:rsid w:val="00A45FC0"/>
    <w:rsid w:val="00A47607"/>
    <w:rsid w:val="00A50814"/>
    <w:rsid w:val="00A51E97"/>
    <w:rsid w:val="00A52EE7"/>
    <w:rsid w:val="00A53740"/>
    <w:rsid w:val="00A53BFB"/>
    <w:rsid w:val="00A55569"/>
    <w:rsid w:val="00A57A07"/>
    <w:rsid w:val="00A60459"/>
    <w:rsid w:val="00A608EB"/>
    <w:rsid w:val="00A61FF2"/>
    <w:rsid w:val="00A62EB8"/>
    <w:rsid w:val="00A637D4"/>
    <w:rsid w:val="00A639B8"/>
    <w:rsid w:val="00A64706"/>
    <w:rsid w:val="00A70225"/>
    <w:rsid w:val="00A703E0"/>
    <w:rsid w:val="00A7163D"/>
    <w:rsid w:val="00A73F90"/>
    <w:rsid w:val="00A80E57"/>
    <w:rsid w:val="00A81412"/>
    <w:rsid w:val="00A8178B"/>
    <w:rsid w:val="00A82CFC"/>
    <w:rsid w:val="00A865D8"/>
    <w:rsid w:val="00A8668C"/>
    <w:rsid w:val="00A87B71"/>
    <w:rsid w:val="00A87B77"/>
    <w:rsid w:val="00A90BC3"/>
    <w:rsid w:val="00A9139E"/>
    <w:rsid w:val="00A936B3"/>
    <w:rsid w:val="00A93762"/>
    <w:rsid w:val="00A93966"/>
    <w:rsid w:val="00A9482D"/>
    <w:rsid w:val="00A96B94"/>
    <w:rsid w:val="00AA50B8"/>
    <w:rsid w:val="00AA63EA"/>
    <w:rsid w:val="00AA6702"/>
    <w:rsid w:val="00AB2C8A"/>
    <w:rsid w:val="00AB3287"/>
    <w:rsid w:val="00AB5BBE"/>
    <w:rsid w:val="00AB74A6"/>
    <w:rsid w:val="00AC0E4B"/>
    <w:rsid w:val="00AC4ABD"/>
    <w:rsid w:val="00AC5D8F"/>
    <w:rsid w:val="00AC660C"/>
    <w:rsid w:val="00AC7804"/>
    <w:rsid w:val="00AD12D9"/>
    <w:rsid w:val="00AD1DE8"/>
    <w:rsid w:val="00AD7A20"/>
    <w:rsid w:val="00AE03B4"/>
    <w:rsid w:val="00AE1103"/>
    <w:rsid w:val="00AE29C3"/>
    <w:rsid w:val="00AE4228"/>
    <w:rsid w:val="00AE7621"/>
    <w:rsid w:val="00AE7823"/>
    <w:rsid w:val="00AF1206"/>
    <w:rsid w:val="00AF12CD"/>
    <w:rsid w:val="00AF3673"/>
    <w:rsid w:val="00AF4908"/>
    <w:rsid w:val="00AF7A01"/>
    <w:rsid w:val="00B00AA7"/>
    <w:rsid w:val="00B01740"/>
    <w:rsid w:val="00B04681"/>
    <w:rsid w:val="00B05C47"/>
    <w:rsid w:val="00B11A0F"/>
    <w:rsid w:val="00B11EA9"/>
    <w:rsid w:val="00B14010"/>
    <w:rsid w:val="00B141B5"/>
    <w:rsid w:val="00B16919"/>
    <w:rsid w:val="00B22C1C"/>
    <w:rsid w:val="00B260F3"/>
    <w:rsid w:val="00B27386"/>
    <w:rsid w:val="00B27C51"/>
    <w:rsid w:val="00B300CF"/>
    <w:rsid w:val="00B304E7"/>
    <w:rsid w:val="00B342CD"/>
    <w:rsid w:val="00B35489"/>
    <w:rsid w:val="00B37D94"/>
    <w:rsid w:val="00B40C14"/>
    <w:rsid w:val="00B4145F"/>
    <w:rsid w:val="00B42173"/>
    <w:rsid w:val="00B469DA"/>
    <w:rsid w:val="00B55A17"/>
    <w:rsid w:val="00B56C68"/>
    <w:rsid w:val="00B57847"/>
    <w:rsid w:val="00B6165B"/>
    <w:rsid w:val="00B62DF5"/>
    <w:rsid w:val="00B6426A"/>
    <w:rsid w:val="00B64750"/>
    <w:rsid w:val="00B64973"/>
    <w:rsid w:val="00B65440"/>
    <w:rsid w:val="00B6688A"/>
    <w:rsid w:val="00B70457"/>
    <w:rsid w:val="00B73515"/>
    <w:rsid w:val="00B741EB"/>
    <w:rsid w:val="00B74C3B"/>
    <w:rsid w:val="00B84FA2"/>
    <w:rsid w:val="00B9411C"/>
    <w:rsid w:val="00B94D43"/>
    <w:rsid w:val="00B95E50"/>
    <w:rsid w:val="00B96EA5"/>
    <w:rsid w:val="00B9746E"/>
    <w:rsid w:val="00BA0BBA"/>
    <w:rsid w:val="00BA24C0"/>
    <w:rsid w:val="00BA4BD1"/>
    <w:rsid w:val="00BA5332"/>
    <w:rsid w:val="00BB0095"/>
    <w:rsid w:val="00BB0EDC"/>
    <w:rsid w:val="00BB2E34"/>
    <w:rsid w:val="00BB302E"/>
    <w:rsid w:val="00BB4AE0"/>
    <w:rsid w:val="00BC140E"/>
    <w:rsid w:val="00BC1698"/>
    <w:rsid w:val="00BC4EC9"/>
    <w:rsid w:val="00BD0655"/>
    <w:rsid w:val="00BD1B1B"/>
    <w:rsid w:val="00BD2B58"/>
    <w:rsid w:val="00BD332C"/>
    <w:rsid w:val="00BD3871"/>
    <w:rsid w:val="00BD3A95"/>
    <w:rsid w:val="00BD5A0F"/>
    <w:rsid w:val="00BE07C6"/>
    <w:rsid w:val="00BE2631"/>
    <w:rsid w:val="00BE31F5"/>
    <w:rsid w:val="00BE4B81"/>
    <w:rsid w:val="00BE59E5"/>
    <w:rsid w:val="00BE60C2"/>
    <w:rsid w:val="00BF1FF6"/>
    <w:rsid w:val="00C00C5C"/>
    <w:rsid w:val="00C017E6"/>
    <w:rsid w:val="00C04D1B"/>
    <w:rsid w:val="00C06B22"/>
    <w:rsid w:val="00C07F41"/>
    <w:rsid w:val="00C106C1"/>
    <w:rsid w:val="00C10A5B"/>
    <w:rsid w:val="00C12CD0"/>
    <w:rsid w:val="00C17062"/>
    <w:rsid w:val="00C173A0"/>
    <w:rsid w:val="00C201C9"/>
    <w:rsid w:val="00C20FE1"/>
    <w:rsid w:val="00C21131"/>
    <w:rsid w:val="00C23369"/>
    <w:rsid w:val="00C248C6"/>
    <w:rsid w:val="00C272FF"/>
    <w:rsid w:val="00C3131F"/>
    <w:rsid w:val="00C314C6"/>
    <w:rsid w:val="00C3190D"/>
    <w:rsid w:val="00C33622"/>
    <w:rsid w:val="00C34E35"/>
    <w:rsid w:val="00C351FF"/>
    <w:rsid w:val="00C47215"/>
    <w:rsid w:val="00C4728D"/>
    <w:rsid w:val="00C521BE"/>
    <w:rsid w:val="00C533AE"/>
    <w:rsid w:val="00C552A8"/>
    <w:rsid w:val="00C578B5"/>
    <w:rsid w:val="00C57FA6"/>
    <w:rsid w:val="00C6206B"/>
    <w:rsid w:val="00C632D1"/>
    <w:rsid w:val="00C6332F"/>
    <w:rsid w:val="00C63973"/>
    <w:rsid w:val="00C64C8F"/>
    <w:rsid w:val="00C65CA3"/>
    <w:rsid w:val="00C70947"/>
    <w:rsid w:val="00C725E3"/>
    <w:rsid w:val="00C72DC5"/>
    <w:rsid w:val="00C77546"/>
    <w:rsid w:val="00C7787F"/>
    <w:rsid w:val="00C82439"/>
    <w:rsid w:val="00C859F8"/>
    <w:rsid w:val="00C90BB2"/>
    <w:rsid w:val="00C9339B"/>
    <w:rsid w:val="00C96086"/>
    <w:rsid w:val="00CA0276"/>
    <w:rsid w:val="00CA07C0"/>
    <w:rsid w:val="00CA3D5D"/>
    <w:rsid w:val="00CB01B0"/>
    <w:rsid w:val="00CB1684"/>
    <w:rsid w:val="00CB2C78"/>
    <w:rsid w:val="00CB32F1"/>
    <w:rsid w:val="00CB4302"/>
    <w:rsid w:val="00CB4764"/>
    <w:rsid w:val="00CB477D"/>
    <w:rsid w:val="00CB5805"/>
    <w:rsid w:val="00CB6894"/>
    <w:rsid w:val="00CB6C32"/>
    <w:rsid w:val="00CC20C1"/>
    <w:rsid w:val="00CC55F9"/>
    <w:rsid w:val="00CC7ECB"/>
    <w:rsid w:val="00CD4B21"/>
    <w:rsid w:val="00CD4FF7"/>
    <w:rsid w:val="00CD6AE4"/>
    <w:rsid w:val="00CD7DE6"/>
    <w:rsid w:val="00CE0660"/>
    <w:rsid w:val="00CE14AD"/>
    <w:rsid w:val="00CE3EE2"/>
    <w:rsid w:val="00CE45A8"/>
    <w:rsid w:val="00CE63FA"/>
    <w:rsid w:val="00CF0B4E"/>
    <w:rsid w:val="00CF1A6F"/>
    <w:rsid w:val="00CF32F7"/>
    <w:rsid w:val="00CF4971"/>
    <w:rsid w:val="00CF51C4"/>
    <w:rsid w:val="00CF55DB"/>
    <w:rsid w:val="00CF6CD5"/>
    <w:rsid w:val="00D01A19"/>
    <w:rsid w:val="00D027B5"/>
    <w:rsid w:val="00D02E47"/>
    <w:rsid w:val="00D02FC1"/>
    <w:rsid w:val="00D054C3"/>
    <w:rsid w:val="00D10349"/>
    <w:rsid w:val="00D11969"/>
    <w:rsid w:val="00D15751"/>
    <w:rsid w:val="00D17660"/>
    <w:rsid w:val="00D17849"/>
    <w:rsid w:val="00D20C20"/>
    <w:rsid w:val="00D20F3B"/>
    <w:rsid w:val="00D2188E"/>
    <w:rsid w:val="00D219D1"/>
    <w:rsid w:val="00D226B7"/>
    <w:rsid w:val="00D23932"/>
    <w:rsid w:val="00D257F3"/>
    <w:rsid w:val="00D32A03"/>
    <w:rsid w:val="00D337B1"/>
    <w:rsid w:val="00D3392C"/>
    <w:rsid w:val="00D3665A"/>
    <w:rsid w:val="00D40F6E"/>
    <w:rsid w:val="00D45BF5"/>
    <w:rsid w:val="00D518F2"/>
    <w:rsid w:val="00D542CE"/>
    <w:rsid w:val="00D55EA8"/>
    <w:rsid w:val="00D56EFA"/>
    <w:rsid w:val="00D622B0"/>
    <w:rsid w:val="00D6301A"/>
    <w:rsid w:val="00D67A8E"/>
    <w:rsid w:val="00D702BF"/>
    <w:rsid w:val="00D71FF6"/>
    <w:rsid w:val="00D74484"/>
    <w:rsid w:val="00D83227"/>
    <w:rsid w:val="00D8406E"/>
    <w:rsid w:val="00D861EB"/>
    <w:rsid w:val="00D94F47"/>
    <w:rsid w:val="00D95027"/>
    <w:rsid w:val="00DA1B0A"/>
    <w:rsid w:val="00DA1DFF"/>
    <w:rsid w:val="00DA2EB8"/>
    <w:rsid w:val="00DA4051"/>
    <w:rsid w:val="00DA5343"/>
    <w:rsid w:val="00DA53C6"/>
    <w:rsid w:val="00DA7B01"/>
    <w:rsid w:val="00DB0445"/>
    <w:rsid w:val="00DB3343"/>
    <w:rsid w:val="00DB5716"/>
    <w:rsid w:val="00DB617E"/>
    <w:rsid w:val="00DC0748"/>
    <w:rsid w:val="00DC37C7"/>
    <w:rsid w:val="00DC439D"/>
    <w:rsid w:val="00DC5218"/>
    <w:rsid w:val="00DD0B99"/>
    <w:rsid w:val="00DD2069"/>
    <w:rsid w:val="00DD2111"/>
    <w:rsid w:val="00DD432C"/>
    <w:rsid w:val="00DD78BD"/>
    <w:rsid w:val="00DE429E"/>
    <w:rsid w:val="00DE48DD"/>
    <w:rsid w:val="00DE4C11"/>
    <w:rsid w:val="00DF10A1"/>
    <w:rsid w:val="00DF12A8"/>
    <w:rsid w:val="00DF47F9"/>
    <w:rsid w:val="00DF4E37"/>
    <w:rsid w:val="00E00C46"/>
    <w:rsid w:val="00E034E4"/>
    <w:rsid w:val="00E062F1"/>
    <w:rsid w:val="00E115D6"/>
    <w:rsid w:val="00E11FFC"/>
    <w:rsid w:val="00E14B4E"/>
    <w:rsid w:val="00E20EE0"/>
    <w:rsid w:val="00E22A36"/>
    <w:rsid w:val="00E30B12"/>
    <w:rsid w:val="00E30DDB"/>
    <w:rsid w:val="00E30E09"/>
    <w:rsid w:val="00E3125C"/>
    <w:rsid w:val="00E35CC7"/>
    <w:rsid w:val="00E368A4"/>
    <w:rsid w:val="00E37711"/>
    <w:rsid w:val="00E42871"/>
    <w:rsid w:val="00E42DB2"/>
    <w:rsid w:val="00E4695E"/>
    <w:rsid w:val="00E47183"/>
    <w:rsid w:val="00E471E5"/>
    <w:rsid w:val="00E472F9"/>
    <w:rsid w:val="00E50142"/>
    <w:rsid w:val="00E51DD1"/>
    <w:rsid w:val="00E5228A"/>
    <w:rsid w:val="00E61268"/>
    <w:rsid w:val="00E62460"/>
    <w:rsid w:val="00E62B8E"/>
    <w:rsid w:val="00E63209"/>
    <w:rsid w:val="00E63237"/>
    <w:rsid w:val="00E63D88"/>
    <w:rsid w:val="00E63F56"/>
    <w:rsid w:val="00E64D1F"/>
    <w:rsid w:val="00E65559"/>
    <w:rsid w:val="00E70025"/>
    <w:rsid w:val="00E7174F"/>
    <w:rsid w:val="00E74539"/>
    <w:rsid w:val="00E75864"/>
    <w:rsid w:val="00E805F3"/>
    <w:rsid w:val="00E82291"/>
    <w:rsid w:val="00E86589"/>
    <w:rsid w:val="00E86DF2"/>
    <w:rsid w:val="00E90DDE"/>
    <w:rsid w:val="00E9369E"/>
    <w:rsid w:val="00E95D59"/>
    <w:rsid w:val="00E96C6A"/>
    <w:rsid w:val="00EA1CF7"/>
    <w:rsid w:val="00EA22B6"/>
    <w:rsid w:val="00EA48C1"/>
    <w:rsid w:val="00EA6134"/>
    <w:rsid w:val="00EA681E"/>
    <w:rsid w:val="00EA7796"/>
    <w:rsid w:val="00EB18B1"/>
    <w:rsid w:val="00EB2A7E"/>
    <w:rsid w:val="00EB3B62"/>
    <w:rsid w:val="00EB3BC6"/>
    <w:rsid w:val="00EB3BC8"/>
    <w:rsid w:val="00EB6E4B"/>
    <w:rsid w:val="00EC24A0"/>
    <w:rsid w:val="00EC5632"/>
    <w:rsid w:val="00EC6752"/>
    <w:rsid w:val="00ED4487"/>
    <w:rsid w:val="00ED5DED"/>
    <w:rsid w:val="00ED6482"/>
    <w:rsid w:val="00EE00E6"/>
    <w:rsid w:val="00EE0A92"/>
    <w:rsid w:val="00EE0C8C"/>
    <w:rsid w:val="00EE12F6"/>
    <w:rsid w:val="00EE4540"/>
    <w:rsid w:val="00EF046E"/>
    <w:rsid w:val="00EF1B57"/>
    <w:rsid w:val="00EF30A0"/>
    <w:rsid w:val="00F02321"/>
    <w:rsid w:val="00F02809"/>
    <w:rsid w:val="00F0299F"/>
    <w:rsid w:val="00F04406"/>
    <w:rsid w:val="00F06193"/>
    <w:rsid w:val="00F06D31"/>
    <w:rsid w:val="00F13A6F"/>
    <w:rsid w:val="00F13C49"/>
    <w:rsid w:val="00F13F87"/>
    <w:rsid w:val="00F16968"/>
    <w:rsid w:val="00F2102D"/>
    <w:rsid w:val="00F214ED"/>
    <w:rsid w:val="00F21FB9"/>
    <w:rsid w:val="00F23652"/>
    <w:rsid w:val="00F25B9C"/>
    <w:rsid w:val="00F26BA6"/>
    <w:rsid w:val="00F2723D"/>
    <w:rsid w:val="00F304AC"/>
    <w:rsid w:val="00F349F1"/>
    <w:rsid w:val="00F367FB"/>
    <w:rsid w:val="00F40B5A"/>
    <w:rsid w:val="00F40ED6"/>
    <w:rsid w:val="00F417B4"/>
    <w:rsid w:val="00F447CD"/>
    <w:rsid w:val="00F4534D"/>
    <w:rsid w:val="00F468CC"/>
    <w:rsid w:val="00F469DE"/>
    <w:rsid w:val="00F47300"/>
    <w:rsid w:val="00F5024A"/>
    <w:rsid w:val="00F5200D"/>
    <w:rsid w:val="00F5330C"/>
    <w:rsid w:val="00F5481F"/>
    <w:rsid w:val="00F56EBE"/>
    <w:rsid w:val="00F5719B"/>
    <w:rsid w:val="00F61191"/>
    <w:rsid w:val="00F6361E"/>
    <w:rsid w:val="00F63CF2"/>
    <w:rsid w:val="00F64D97"/>
    <w:rsid w:val="00F65D2D"/>
    <w:rsid w:val="00F71D78"/>
    <w:rsid w:val="00F73B19"/>
    <w:rsid w:val="00F757D3"/>
    <w:rsid w:val="00F758DB"/>
    <w:rsid w:val="00F76104"/>
    <w:rsid w:val="00F8085F"/>
    <w:rsid w:val="00F811F6"/>
    <w:rsid w:val="00F81B88"/>
    <w:rsid w:val="00F84414"/>
    <w:rsid w:val="00F87890"/>
    <w:rsid w:val="00F9057A"/>
    <w:rsid w:val="00F907CB"/>
    <w:rsid w:val="00F940C2"/>
    <w:rsid w:val="00F945D7"/>
    <w:rsid w:val="00F949E4"/>
    <w:rsid w:val="00F97BD6"/>
    <w:rsid w:val="00F97D02"/>
    <w:rsid w:val="00FA0F80"/>
    <w:rsid w:val="00FA29DC"/>
    <w:rsid w:val="00FA3936"/>
    <w:rsid w:val="00FA3D5D"/>
    <w:rsid w:val="00FA6364"/>
    <w:rsid w:val="00FB1BF4"/>
    <w:rsid w:val="00FB2648"/>
    <w:rsid w:val="00FB2E34"/>
    <w:rsid w:val="00FB6011"/>
    <w:rsid w:val="00FB6A1A"/>
    <w:rsid w:val="00FB6B91"/>
    <w:rsid w:val="00FB708B"/>
    <w:rsid w:val="00FC0124"/>
    <w:rsid w:val="00FC315C"/>
    <w:rsid w:val="00FC3C8E"/>
    <w:rsid w:val="00FC4174"/>
    <w:rsid w:val="00FC5C72"/>
    <w:rsid w:val="00FC5E72"/>
    <w:rsid w:val="00FD27D2"/>
    <w:rsid w:val="00FD4DB8"/>
    <w:rsid w:val="00FD554B"/>
    <w:rsid w:val="00FD6CDB"/>
    <w:rsid w:val="00FE4DC8"/>
    <w:rsid w:val="00FE6A18"/>
    <w:rsid w:val="00FE79E8"/>
    <w:rsid w:val="00FF0964"/>
    <w:rsid w:val="00FF0A10"/>
    <w:rsid w:val="00FF5F73"/>
    <w:rsid w:val="00FF601D"/>
    <w:rsid w:val="00FF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2B7D1"/>
  <w15:chartTrackingRefBased/>
  <w15:docId w15:val="{483F9F3C-7144-4EAF-AA21-08F6714A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208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7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57C0"/>
    <w:rPr>
      <w:sz w:val="18"/>
      <w:szCs w:val="18"/>
    </w:rPr>
  </w:style>
  <w:style w:type="paragraph" w:styleId="a5">
    <w:name w:val="footer"/>
    <w:basedOn w:val="a"/>
    <w:link w:val="a6"/>
    <w:uiPriority w:val="99"/>
    <w:unhideWhenUsed/>
    <w:rsid w:val="005B57C0"/>
    <w:pPr>
      <w:tabs>
        <w:tab w:val="center" w:pos="4153"/>
        <w:tab w:val="right" w:pos="8306"/>
      </w:tabs>
      <w:snapToGrid w:val="0"/>
      <w:jc w:val="left"/>
    </w:pPr>
    <w:rPr>
      <w:sz w:val="18"/>
      <w:szCs w:val="18"/>
    </w:rPr>
  </w:style>
  <w:style w:type="character" w:customStyle="1" w:styleId="a6">
    <w:name w:val="页脚 字符"/>
    <w:basedOn w:val="a0"/>
    <w:link w:val="a5"/>
    <w:uiPriority w:val="99"/>
    <w:rsid w:val="005B57C0"/>
    <w:rPr>
      <w:sz w:val="18"/>
      <w:szCs w:val="18"/>
    </w:rPr>
  </w:style>
  <w:style w:type="paragraph" w:styleId="a7">
    <w:name w:val="List Paragraph"/>
    <w:basedOn w:val="a"/>
    <w:uiPriority w:val="34"/>
    <w:qFormat/>
    <w:rsid w:val="005B57C0"/>
    <w:pPr>
      <w:ind w:firstLineChars="200" w:firstLine="420"/>
    </w:pPr>
  </w:style>
  <w:style w:type="character" w:styleId="a8">
    <w:name w:val="annotation reference"/>
    <w:basedOn w:val="a0"/>
    <w:uiPriority w:val="99"/>
    <w:semiHidden/>
    <w:unhideWhenUsed/>
    <w:rsid w:val="00C21131"/>
    <w:rPr>
      <w:sz w:val="21"/>
      <w:szCs w:val="21"/>
    </w:rPr>
  </w:style>
  <w:style w:type="paragraph" w:styleId="a9">
    <w:name w:val="annotation text"/>
    <w:basedOn w:val="a"/>
    <w:link w:val="aa"/>
    <w:uiPriority w:val="99"/>
    <w:semiHidden/>
    <w:unhideWhenUsed/>
    <w:rsid w:val="00C21131"/>
    <w:pPr>
      <w:jc w:val="left"/>
    </w:pPr>
  </w:style>
  <w:style w:type="character" w:customStyle="1" w:styleId="aa">
    <w:name w:val="批注文字 字符"/>
    <w:basedOn w:val="a0"/>
    <w:link w:val="a9"/>
    <w:uiPriority w:val="99"/>
    <w:semiHidden/>
    <w:rsid w:val="00C21131"/>
  </w:style>
  <w:style w:type="paragraph" w:styleId="ab">
    <w:name w:val="annotation subject"/>
    <w:basedOn w:val="a9"/>
    <w:next w:val="a9"/>
    <w:link w:val="ac"/>
    <w:uiPriority w:val="99"/>
    <w:semiHidden/>
    <w:unhideWhenUsed/>
    <w:rsid w:val="00C21131"/>
    <w:rPr>
      <w:b/>
      <w:bCs/>
    </w:rPr>
  </w:style>
  <w:style w:type="character" w:customStyle="1" w:styleId="ac">
    <w:name w:val="批注主题 字符"/>
    <w:basedOn w:val="aa"/>
    <w:link w:val="ab"/>
    <w:uiPriority w:val="99"/>
    <w:semiHidden/>
    <w:rsid w:val="00C21131"/>
    <w:rPr>
      <w:b/>
      <w:bCs/>
    </w:rPr>
  </w:style>
  <w:style w:type="paragraph" w:styleId="ad">
    <w:name w:val="Balloon Text"/>
    <w:basedOn w:val="a"/>
    <w:link w:val="ae"/>
    <w:uiPriority w:val="99"/>
    <w:semiHidden/>
    <w:unhideWhenUsed/>
    <w:rsid w:val="00C21131"/>
    <w:rPr>
      <w:sz w:val="18"/>
      <w:szCs w:val="18"/>
    </w:rPr>
  </w:style>
  <w:style w:type="character" w:customStyle="1" w:styleId="ae">
    <w:name w:val="批注框文本 字符"/>
    <w:basedOn w:val="a0"/>
    <w:link w:val="ad"/>
    <w:uiPriority w:val="99"/>
    <w:semiHidden/>
    <w:rsid w:val="00C21131"/>
    <w:rPr>
      <w:sz w:val="18"/>
      <w:szCs w:val="18"/>
    </w:rPr>
  </w:style>
  <w:style w:type="character" w:customStyle="1" w:styleId="10">
    <w:name w:val="标题 1 字符"/>
    <w:basedOn w:val="a0"/>
    <w:link w:val="1"/>
    <w:uiPriority w:val="9"/>
    <w:rsid w:val="005208F2"/>
    <w:rPr>
      <w:b/>
      <w:bCs/>
      <w:kern w:val="44"/>
      <w:sz w:val="44"/>
      <w:szCs w:val="44"/>
    </w:rPr>
  </w:style>
  <w:style w:type="paragraph" w:styleId="TOC">
    <w:name w:val="TOC Heading"/>
    <w:basedOn w:val="1"/>
    <w:next w:val="a"/>
    <w:uiPriority w:val="39"/>
    <w:unhideWhenUsed/>
    <w:qFormat/>
    <w:rsid w:val="005208F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5208F2"/>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208F2"/>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208F2"/>
    <w:pPr>
      <w:widowControl/>
      <w:spacing w:after="100" w:line="259" w:lineRule="auto"/>
      <w:ind w:left="440"/>
      <w:jc w:val="left"/>
    </w:pPr>
    <w:rPr>
      <w:rFonts w:cs="Times New Roman"/>
      <w:kern w:val="0"/>
      <w:sz w:val="22"/>
    </w:rPr>
  </w:style>
  <w:style w:type="character" w:styleId="af">
    <w:name w:val="Hyperlink"/>
    <w:basedOn w:val="a0"/>
    <w:uiPriority w:val="99"/>
    <w:unhideWhenUsed/>
    <w:rsid w:val="005208F2"/>
    <w:rPr>
      <w:color w:val="0563C1" w:themeColor="hyperlink"/>
      <w:u w:val="single"/>
    </w:rPr>
  </w:style>
  <w:style w:type="paragraph" w:styleId="af0">
    <w:name w:val="Date"/>
    <w:basedOn w:val="a"/>
    <w:next w:val="a"/>
    <w:link w:val="af1"/>
    <w:uiPriority w:val="99"/>
    <w:semiHidden/>
    <w:unhideWhenUsed/>
    <w:rsid w:val="006043C6"/>
    <w:pPr>
      <w:ind w:leftChars="2500" w:left="100"/>
    </w:pPr>
  </w:style>
  <w:style w:type="character" w:customStyle="1" w:styleId="af1">
    <w:name w:val="日期 字符"/>
    <w:basedOn w:val="a0"/>
    <w:link w:val="af0"/>
    <w:uiPriority w:val="99"/>
    <w:semiHidden/>
    <w:rsid w:val="006043C6"/>
  </w:style>
  <w:style w:type="character" w:customStyle="1" w:styleId="fontstyle01">
    <w:name w:val="fontstyle01"/>
    <w:basedOn w:val="a0"/>
    <w:rsid w:val="00DC0748"/>
    <w:rPr>
      <w:rFonts w:ascii="MicrosoftYaHei" w:hAnsi="MicrosoftYaHei" w:hint="default"/>
      <w:b w:val="0"/>
      <w:bCs w:val="0"/>
      <w:i w:val="0"/>
      <w:iCs w:val="0"/>
      <w:color w:val="272727"/>
      <w:sz w:val="18"/>
      <w:szCs w:val="18"/>
    </w:rPr>
  </w:style>
  <w:style w:type="character" w:customStyle="1" w:styleId="fontstyle11">
    <w:name w:val="fontstyle11"/>
    <w:basedOn w:val="a0"/>
    <w:rsid w:val="00180918"/>
    <w:rPr>
      <w:rFonts w:ascii="ACaslonPro-Regular" w:hAnsi="ACaslonPro-Regular" w:hint="default"/>
      <w:b w:val="0"/>
      <w:bCs w:val="0"/>
      <w:i w:val="0"/>
      <w:iCs w:val="0"/>
      <w:color w:val="242021"/>
      <w:sz w:val="24"/>
      <w:szCs w:val="24"/>
    </w:rPr>
  </w:style>
  <w:style w:type="character" w:customStyle="1" w:styleId="fontstyle21">
    <w:name w:val="fontstyle21"/>
    <w:basedOn w:val="a0"/>
    <w:rsid w:val="00180918"/>
    <w:rPr>
      <w:rFonts w:ascii="FZLTKHK--GBK1-0" w:hAnsi="FZLTKHK--GBK1-0" w:hint="default"/>
      <w:b w:val="0"/>
      <w:bCs w:val="0"/>
      <w:i w:val="0"/>
      <w:iCs w:val="0"/>
      <w:color w:val="403F41"/>
      <w:sz w:val="20"/>
      <w:szCs w:val="20"/>
    </w:rPr>
  </w:style>
  <w:style w:type="paragraph" w:styleId="af2">
    <w:name w:val="Body Text"/>
    <w:basedOn w:val="a"/>
    <w:link w:val="af3"/>
    <w:uiPriority w:val="1"/>
    <w:semiHidden/>
    <w:unhideWhenUsed/>
    <w:qFormat/>
    <w:rsid w:val="00A4413C"/>
    <w:pPr>
      <w:autoSpaceDE w:val="0"/>
      <w:autoSpaceDN w:val="0"/>
      <w:jc w:val="left"/>
    </w:pPr>
    <w:rPr>
      <w:rFonts w:ascii="Times New Roman" w:eastAsia="Times New Roman" w:hAnsi="Times New Roman" w:cs="Times New Roman"/>
      <w:kern w:val="0"/>
      <w:sz w:val="24"/>
      <w:szCs w:val="20"/>
    </w:rPr>
  </w:style>
  <w:style w:type="character" w:customStyle="1" w:styleId="af3">
    <w:name w:val="正文文本 字符"/>
    <w:basedOn w:val="a0"/>
    <w:link w:val="af2"/>
    <w:uiPriority w:val="1"/>
    <w:semiHidden/>
    <w:rsid w:val="00A4413C"/>
    <w:rPr>
      <w:rFonts w:ascii="Times New Roman" w:eastAsia="Times New Roman" w:hAnsi="Times New Roman" w:cs="Times New Roman"/>
      <w:kern w:val="0"/>
      <w:sz w:val="24"/>
      <w:szCs w:val="20"/>
    </w:rPr>
  </w:style>
  <w:style w:type="paragraph" w:styleId="af4">
    <w:name w:val="footnote text"/>
    <w:basedOn w:val="a"/>
    <w:link w:val="af5"/>
    <w:uiPriority w:val="99"/>
    <w:semiHidden/>
    <w:unhideWhenUsed/>
    <w:rsid w:val="00A027C3"/>
    <w:pPr>
      <w:snapToGrid w:val="0"/>
      <w:jc w:val="left"/>
    </w:pPr>
    <w:rPr>
      <w:sz w:val="18"/>
      <w:szCs w:val="18"/>
    </w:rPr>
  </w:style>
  <w:style w:type="character" w:customStyle="1" w:styleId="af5">
    <w:name w:val="脚注文本 字符"/>
    <w:basedOn w:val="a0"/>
    <w:link w:val="af4"/>
    <w:uiPriority w:val="99"/>
    <w:semiHidden/>
    <w:rsid w:val="00A027C3"/>
    <w:rPr>
      <w:sz w:val="18"/>
      <w:szCs w:val="18"/>
    </w:rPr>
  </w:style>
  <w:style w:type="character" w:styleId="af6">
    <w:name w:val="footnote reference"/>
    <w:basedOn w:val="a0"/>
    <w:uiPriority w:val="99"/>
    <w:semiHidden/>
    <w:unhideWhenUsed/>
    <w:rsid w:val="00A027C3"/>
    <w:rPr>
      <w:vertAlign w:val="superscript"/>
    </w:rPr>
  </w:style>
  <w:style w:type="paragraph" w:styleId="af7">
    <w:name w:val="endnote text"/>
    <w:basedOn w:val="a"/>
    <w:link w:val="af8"/>
    <w:uiPriority w:val="99"/>
    <w:semiHidden/>
    <w:unhideWhenUsed/>
    <w:rsid w:val="00B94D43"/>
    <w:pPr>
      <w:snapToGrid w:val="0"/>
      <w:jc w:val="left"/>
    </w:pPr>
  </w:style>
  <w:style w:type="character" w:customStyle="1" w:styleId="af8">
    <w:name w:val="尾注文本 字符"/>
    <w:basedOn w:val="a0"/>
    <w:link w:val="af7"/>
    <w:uiPriority w:val="99"/>
    <w:semiHidden/>
    <w:rsid w:val="00B94D43"/>
  </w:style>
  <w:style w:type="character" w:styleId="af9">
    <w:name w:val="endnote reference"/>
    <w:basedOn w:val="a0"/>
    <w:uiPriority w:val="99"/>
    <w:semiHidden/>
    <w:unhideWhenUsed/>
    <w:rsid w:val="00B94D43"/>
    <w:rPr>
      <w:vertAlign w:val="superscript"/>
    </w:rPr>
  </w:style>
  <w:style w:type="character" w:styleId="afa">
    <w:name w:val="line number"/>
    <w:basedOn w:val="a0"/>
    <w:uiPriority w:val="99"/>
    <w:semiHidden/>
    <w:unhideWhenUsed/>
    <w:rsid w:val="007F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2042">
      <w:bodyDiv w:val="1"/>
      <w:marLeft w:val="0"/>
      <w:marRight w:val="0"/>
      <w:marTop w:val="0"/>
      <w:marBottom w:val="0"/>
      <w:divBdr>
        <w:top w:val="none" w:sz="0" w:space="0" w:color="auto"/>
        <w:left w:val="none" w:sz="0" w:space="0" w:color="auto"/>
        <w:bottom w:val="none" w:sz="0" w:space="0" w:color="auto"/>
        <w:right w:val="none" w:sz="0" w:space="0" w:color="auto"/>
      </w:divBdr>
    </w:div>
    <w:div w:id="1510950227">
      <w:bodyDiv w:val="1"/>
      <w:marLeft w:val="0"/>
      <w:marRight w:val="0"/>
      <w:marTop w:val="0"/>
      <w:marBottom w:val="0"/>
      <w:divBdr>
        <w:top w:val="none" w:sz="0" w:space="0" w:color="auto"/>
        <w:left w:val="none" w:sz="0" w:space="0" w:color="auto"/>
        <w:bottom w:val="none" w:sz="0" w:space="0" w:color="auto"/>
        <w:right w:val="none" w:sz="0" w:space="0" w:color="auto"/>
      </w:divBdr>
    </w:div>
    <w:div w:id="1704791915">
      <w:bodyDiv w:val="1"/>
      <w:marLeft w:val="0"/>
      <w:marRight w:val="0"/>
      <w:marTop w:val="0"/>
      <w:marBottom w:val="0"/>
      <w:divBdr>
        <w:top w:val="none" w:sz="0" w:space="0" w:color="auto"/>
        <w:left w:val="none" w:sz="0" w:space="0" w:color="auto"/>
        <w:bottom w:val="none" w:sz="0" w:space="0" w:color="auto"/>
        <w:right w:val="none" w:sz="0" w:space="0" w:color="auto"/>
      </w:divBdr>
    </w:div>
    <w:div w:id="17987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ata.fda.gov/scripts/cder/daf/index.cfm?event=medguide.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B2217-A124-4C85-B839-CD9259BF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9071</TotalTime>
  <Pages>16</Pages>
  <Words>1334</Words>
  <Characters>7607</Characters>
  <Application>Microsoft Office Word</Application>
  <DocSecurity>0</DocSecurity>
  <Lines>63</Lines>
  <Paragraphs>17</Paragraphs>
  <ScaleCrop>false</ScaleCrop>
  <Company>China</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王丹</cp:lastModifiedBy>
  <cp:revision>790</cp:revision>
  <dcterms:created xsi:type="dcterms:W3CDTF">2024-03-30T12:05:00Z</dcterms:created>
  <dcterms:modified xsi:type="dcterms:W3CDTF">2024-09-24T03:24:00Z</dcterms:modified>
</cp:coreProperties>
</file>