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ED" w:rsidRPr="00AA2A33" w:rsidRDefault="008F39CD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AA2A33">
        <w:rPr>
          <w:rFonts w:ascii="Times New Roman" w:eastAsia="黑体" w:hAnsi="Times New Roman" w:cs="Times New Roman"/>
          <w:sz w:val="32"/>
          <w:szCs w:val="32"/>
        </w:rPr>
        <w:t>1</w:t>
      </w:r>
    </w:p>
    <w:p w:rsidR="00657CED" w:rsidRDefault="008F39CD" w:rsidP="005F6140">
      <w:pPr>
        <w:spacing w:beforeLines="100" w:before="312" w:afterLines="100" w:after="312" w:line="64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处方药转换为非处方药申请范围指导原则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第一条</w:t>
      </w:r>
      <w:r w:rsidR="0048131A" w:rsidRPr="00C17A8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17A89">
        <w:rPr>
          <w:rFonts w:ascii="Times New Roman" w:eastAsia="仿宋" w:hAnsi="Times New Roman" w:cs="Times New Roman"/>
          <w:sz w:val="32"/>
          <w:szCs w:val="32"/>
        </w:rPr>
        <w:t>根据《中华人民共和国药品管理法》《药品注册管理办法》《处</w:t>
      </w:r>
      <w:bookmarkStart w:id="0" w:name="_GoBack"/>
      <w:bookmarkEnd w:id="0"/>
      <w:r w:rsidRPr="00C17A89">
        <w:rPr>
          <w:rFonts w:ascii="Times New Roman" w:eastAsia="仿宋" w:hAnsi="Times New Roman" w:cs="Times New Roman"/>
          <w:sz w:val="32"/>
          <w:szCs w:val="32"/>
        </w:rPr>
        <w:t>方药与非处方药分类管理办法》等相关文件，制定本文件。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第二条</w:t>
      </w:r>
      <w:r w:rsidR="0048131A" w:rsidRPr="00C17A8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17A89">
        <w:rPr>
          <w:rFonts w:ascii="Times New Roman" w:eastAsia="仿宋" w:hAnsi="Times New Roman" w:cs="Times New Roman"/>
          <w:sz w:val="32"/>
          <w:szCs w:val="32"/>
        </w:rPr>
        <w:t>本文件旨在规范处方药转换为非处方药的评价工作，为药品上市许可持有人或者进口药品上市许可持有人指定的代理人（以下称申请人）对其持有或代理的处方药申请转换为非处方药提供指导。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第三条</w:t>
      </w:r>
      <w:r w:rsidR="0048131A" w:rsidRPr="00C17A8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17A89">
        <w:rPr>
          <w:rFonts w:ascii="Times New Roman" w:eastAsia="仿宋" w:hAnsi="Times New Roman" w:cs="Times New Roman"/>
          <w:sz w:val="32"/>
          <w:szCs w:val="32"/>
        </w:rPr>
        <w:t>国家药品监督管理局药品评价中心（以下简称评价中心）负责制定处方药转换为非处方药申请范围指导原则。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第四条</w:t>
      </w:r>
      <w:r w:rsidR="0048131A" w:rsidRPr="00C17A8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17A89">
        <w:rPr>
          <w:rFonts w:ascii="Times New Roman" w:eastAsia="仿宋" w:hAnsi="Times New Roman" w:cs="Times New Roman"/>
          <w:sz w:val="32"/>
          <w:szCs w:val="32"/>
        </w:rPr>
        <w:t>经国家药品监督管理局批准上市的处方药</w:t>
      </w:r>
      <w:r w:rsidRPr="00C17A89">
        <w:rPr>
          <w:rFonts w:ascii="Times New Roman" w:eastAsia="仿宋" w:hAnsi="Times New Roman" w:cs="Times New Roman"/>
          <w:sz w:val="32"/>
          <w:szCs w:val="32"/>
        </w:rPr>
        <w:t xml:space="preserve">, </w:t>
      </w:r>
      <w:r w:rsidRPr="00C17A89">
        <w:rPr>
          <w:rFonts w:ascii="Times New Roman" w:eastAsia="仿宋" w:hAnsi="Times New Roman" w:cs="Times New Roman"/>
          <w:sz w:val="32"/>
          <w:szCs w:val="32"/>
        </w:rPr>
        <w:t>符合以下条件的，申请人均可向评价中心提出处方药转换为非处方药申请。</w:t>
      </w:r>
    </w:p>
    <w:p w:rsidR="00657CED" w:rsidRPr="00C17A89" w:rsidRDefault="008F39CD">
      <w:pPr>
        <w:spacing w:line="54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（一）符合处方药转换为非处方药评价指导原则及相关技术文件要求。</w:t>
      </w:r>
    </w:p>
    <w:p w:rsidR="00657CED" w:rsidRPr="00C17A89" w:rsidRDefault="008F39CD">
      <w:pPr>
        <w:spacing w:line="54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（二）适合消费者自我认知、自我判断、自我药疗、自我监护。</w:t>
      </w:r>
    </w:p>
    <w:p w:rsidR="00657CED" w:rsidRPr="00C17A89" w:rsidRDefault="008F39CD">
      <w:pPr>
        <w:spacing w:line="54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（三）制剂或其成分（组分）己在我国上市，临床广泛使用，安全性良好。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第五条</w:t>
      </w:r>
      <w:r w:rsidR="0048131A" w:rsidRPr="00C17A8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17A89">
        <w:rPr>
          <w:rFonts w:ascii="Times New Roman" w:eastAsia="仿宋" w:hAnsi="Times New Roman" w:cs="Times New Roman"/>
          <w:sz w:val="32"/>
          <w:szCs w:val="32"/>
        </w:rPr>
        <w:t>以下情形为处方药申请转换为非处方药的排除范围</w:t>
      </w:r>
      <w:r w:rsidRPr="00C17A89">
        <w:rPr>
          <w:rFonts w:ascii="Times New Roman" w:eastAsia="仿宋" w:hAnsi="Times New Roman" w:cs="Times New Roman"/>
          <w:sz w:val="32"/>
          <w:szCs w:val="32"/>
        </w:rPr>
        <w:t>: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（一）用于急救和其他患者不宜自我治疗疾病的药品。</w:t>
      </w:r>
      <w:r w:rsidRPr="00C17A89">
        <w:rPr>
          <w:rFonts w:ascii="Times New Roman" w:eastAsia="仿宋" w:hAnsi="Times New Roman" w:cs="Times New Roman"/>
          <w:sz w:val="32"/>
          <w:szCs w:val="32"/>
        </w:rPr>
        <w:lastRenderedPageBreak/>
        <w:t>如用于肿瘤、青光眼、消化道溃疡、精神病、糖尿病、肝病、肾病、前列腺疾病、免疫性疾病、心脑血管疾病、性传播疾病等的治疗药品。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（二）消费者不便自我使用的给药途径，如注射剂、埋植剂等。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（三）用药期间需要专业人员进行医学监护和指导的药品，如抗凝类、解毒类药品和疫苗等。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（四）需要在特殊条件下保存的药品，如需要严格避光、低温等条件保存的药品。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（五）作用于全身的抗菌药、激素（避孕药除外）。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（六）依据《含毒性药材中成药转换为非处方药评价处理原则》规定，不予转换的含毒性药材中成药。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（七）原料药、药用辅料、中药材、饮片。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（八）国家规定的医疗用毒性药品、麻醉药品、精神药品和放射性药品等特殊管理的药品。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（九）其</w:t>
      </w:r>
      <w:r w:rsidR="00502C3A">
        <w:rPr>
          <w:rFonts w:ascii="Times New Roman" w:eastAsia="仿宋" w:hAnsi="Times New Roman" w:cs="Times New Roman" w:hint="eastAsia"/>
          <w:sz w:val="32"/>
          <w:szCs w:val="32"/>
        </w:rPr>
        <w:t>他</w:t>
      </w:r>
      <w:r w:rsidRPr="00C17A89">
        <w:rPr>
          <w:rFonts w:ascii="Times New Roman" w:eastAsia="仿宋" w:hAnsi="Times New Roman" w:cs="Times New Roman"/>
          <w:sz w:val="32"/>
          <w:szCs w:val="32"/>
        </w:rPr>
        <w:t>不符合非处方药要求的药品。</w:t>
      </w:r>
    </w:p>
    <w:p w:rsidR="00657CED" w:rsidRPr="00C17A89" w:rsidRDefault="008F39C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7A89">
        <w:rPr>
          <w:rFonts w:ascii="Times New Roman" w:eastAsia="仿宋" w:hAnsi="Times New Roman" w:cs="Times New Roman"/>
          <w:sz w:val="32"/>
          <w:szCs w:val="32"/>
        </w:rPr>
        <w:t>第六条</w:t>
      </w:r>
      <w:r w:rsidR="0048131A" w:rsidRPr="00C17A8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17A89">
        <w:rPr>
          <w:rFonts w:ascii="Times New Roman" w:eastAsia="仿宋" w:hAnsi="Times New Roman" w:cs="Times New Roman"/>
          <w:sz w:val="32"/>
          <w:szCs w:val="32"/>
        </w:rPr>
        <w:t>本</w:t>
      </w:r>
      <w:r w:rsidR="00D1414D" w:rsidRPr="00C17A89">
        <w:rPr>
          <w:rFonts w:ascii="Times New Roman" w:eastAsia="仿宋" w:hAnsi="Times New Roman" w:cs="Times New Roman"/>
          <w:sz w:val="32"/>
          <w:szCs w:val="32"/>
        </w:rPr>
        <w:t>指导原则</w:t>
      </w:r>
      <w:r w:rsidRPr="00C17A89">
        <w:rPr>
          <w:rFonts w:ascii="Times New Roman" w:eastAsia="仿宋" w:hAnsi="Times New Roman" w:cs="Times New Roman"/>
          <w:sz w:val="32"/>
          <w:szCs w:val="32"/>
        </w:rPr>
        <w:t>自发布之日起施行。</w:t>
      </w:r>
    </w:p>
    <w:p w:rsidR="00657CED" w:rsidRPr="00C17A89" w:rsidRDefault="00657CED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57CED" w:rsidRPr="00C17A89" w:rsidRDefault="00657CED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57CED" w:rsidRPr="00C17A89" w:rsidRDefault="00657CED">
      <w:pPr>
        <w:spacing w:line="540" w:lineRule="exact"/>
        <w:rPr>
          <w:rFonts w:ascii="Times New Roman" w:eastAsia="仿宋" w:hAnsi="Times New Roman" w:cs="Times New Roman"/>
        </w:rPr>
      </w:pPr>
    </w:p>
    <w:sectPr w:rsidR="00657CED" w:rsidRPr="00C17A89" w:rsidSect="002B3BFA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4A" w:rsidRDefault="002C3A4A">
      <w:r>
        <w:separator/>
      </w:r>
    </w:p>
  </w:endnote>
  <w:endnote w:type="continuationSeparator" w:id="0">
    <w:p w:rsidR="002C3A4A" w:rsidRDefault="002C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68622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A1FDE" w:rsidRPr="00BA1FDE" w:rsidRDefault="00BA1FDE">
        <w:pPr>
          <w:pStyle w:val="a3"/>
          <w:rPr>
            <w:rFonts w:asciiTheme="minorEastAsia" w:hAnsiTheme="minorEastAsia"/>
            <w:sz w:val="28"/>
            <w:szCs w:val="28"/>
          </w:rPr>
        </w:pPr>
        <w:r w:rsidRPr="00BA1FDE">
          <w:rPr>
            <w:rFonts w:asciiTheme="minorEastAsia" w:hAnsiTheme="minorEastAsia"/>
            <w:sz w:val="28"/>
            <w:szCs w:val="28"/>
          </w:rPr>
          <w:fldChar w:fldCharType="begin"/>
        </w:r>
        <w:r w:rsidRPr="00BA1FD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A1FDE">
          <w:rPr>
            <w:rFonts w:asciiTheme="minorEastAsia" w:hAnsiTheme="minorEastAsia"/>
            <w:sz w:val="28"/>
            <w:szCs w:val="28"/>
          </w:rPr>
          <w:fldChar w:fldCharType="separate"/>
        </w:r>
        <w:r w:rsidR="00AA2A33" w:rsidRPr="00AA2A3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A2A33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A1FD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11FA1" w:rsidRDefault="00311F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808665"/>
      <w:docPartObj>
        <w:docPartGallery w:val="Page Numbers (Bottom of Page)"/>
        <w:docPartUnique/>
      </w:docPartObj>
    </w:sdtPr>
    <w:sdtEndPr/>
    <w:sdtContent>
      <w:p w:rsidR="00BA1FDE" w:rsidRDefault="00BA1FDE">
        <w:pPr>
          <w:pStyle w:val="a3"/>
          <w:jc w:val="right"/>
        </w:pPr>
        <w:r w:rsidRPr="00BA1FDE">
          <w:rPr>
            <w:rFonts w:asciiTheme="minorEastAsia" w:hAnsiTheme="minorEastAsia"/>
            <w:sz w:val="28"/>
            <w:szCs w:val="28"/>
          </w:rPr>
          <w:fldChar w:fldCharType="begin"/>
        </w:r>
        <w:r w:rsidRPr="00BA1FD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A1FDE">
          <w:rPr>
            <w:rFonts w:asciiTheme="minorEastAsia" w:hAnsiTheme="minorEastAsia"/>
            <w:sz w:val="28"/>
            <w:szCs w:val="28"/>
          </w:rPr>
          <w:fldChar w:fldCharType="separate"/>
        </w:r>
        <w:r w:rsidR="00AA2A33" w:rsidRPr="00AA2A3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A2A3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A1FD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57CED" w:rsidRDefault="00657CED" w:rsidP="00F6793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4A" w:rsidRDefault="002C3A4A">
      <w:r>
        <w:separator/>
      </w:r>
    </w:p>
  </w:footnote>
  <w:footnote w:type="continuationSeparator" w:id="0">
    <w:p w:rsidR="002C3A4A" w:rsidRDefault="002C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2QwZDRjYTliNWNhOGQ0ZmUxMGRlZThkM2VhNTAifQ=="/>
  </w:docVars>
  <w:rsids>
    <w:rsidRoot w:val="00062EE2"/>
    <w:rsid w:val="00006F19"/>
    <w:rsid w:val="000071AB"/>
    <w:rsid w:val="00027D73"/>
    <w:rsid w:val="00041F53"/>
    <w:rsid w:val="00062EE2"/>
    <w:rsid w:val="000816EE"/>
    <w:rsid w:val="00097D20"/>
    <w:rsid w:val="000A4D8B"/>
    <w:rsid w:val="000E3C93"/>
    <w:rsid w:val="000F3BAD"/>
    <w:rsid w:val="0011502B"/>
    <w:rsid w:val="0012362E"/>
    <w:rsid w:val="001816CF"/>
    <w:rsid w:val="00186DFC"/>
    <w:rsid w:val="001C4AF0"/>
    <w:rsid w:val="001C5DD8"/>
    <w:rsid w:val="001C6C17"/>
    <w:rsid w:val="001D3644"/>
    <w:rsid w:val="00216444"/>
    <w:rsid w:val="00241D89"/>
    <w:rsid w:val="00286017"/>
    <w:rsid w:val="00287B31"/>
    <w:rsid w:val="00290219"/>
    <w:rsid w:val="002A258F"/>
    <w:rsid w:val="002B3BFA"/>
    <w:rsid w:val="002C3A4A"/>
    <w:rsid w:val="002C4ED8"/>
    <w:rsid w:val="002E5A5D"/>
    <w:rsid w:val="002E6C86"/>
    <w:rsid w:val="00311FA1"/>
    <w:rsid w:val="00332AE3"/>
    <w:rsid w:val="0035164F"/>
    <w:rsid w:val="003946DD"/>
    <w:rsid w:val="00395837"/>
    <w:rsid w:val="003B1670"/>
    <w:rsid w:val="00414B44"/>
    <w:rsid w:val="00417223"/>
    <w:rsid w:val="0042385C"/>
    <w:rsid w:val="004376F2"/>
    <w:rsid w:val="0048131A"/>
    <w:rsid w:val="00493E3D"/>
    <w:rsid w:val="00494BF6"/>
    <w:rsid w:val="004B0DB7"/>
    <w:rsid w:val="004E2C8D"/>
    <w:rsid w:val="004F7650"/>
    <w:rsid w:val="00502C3A"/>
    <w:rsid w:val="00536EDF"/>
    <w:rsid w:val="00543F6C"/>
    <w:rsid w:val="00565146"/>
    <w:rsid w:val="00573E11"/>
    <w:rsid w:val="00580D78"/>
    <w:rsid w:val="005B4932"/>
    <w:rsid w:val="005D14B6"/>
    <w:rsid w:val="005F6140"/>
    <w:rsid w:val="006532D3"/>
    <w:rsid w:val="00657CED"/>
    <w:rsid w:val="00680F4E"/>
    <w:rsid w:val="00690886"/>
    <w:rsid w:val="006957EB"/>
    <w:rsid w:val="006E26F9"/>
    <w:rsid w:val="00715928"/>
    <w:rsid w:val="00724A87"/>
    <w:rsid w:val="007C0979"/>
    <w:rsid w:val="007C504D"/>
    <w:rsid w:val="007D67F0"/>
    <w:rsid w:val="007E2F4E"/>
    <w:rsid w:val="007E6691"/>
    <w:rsid w:val="00806A6A"/>
    <w:rsid w:val="008202EC"/>
    <w:rsid w:val="008355F3"/>
    <w:rsid w:val="00842F55"/>
    <w:rsid w:val="00866AFD"/>
    <w:rsid w:val="00875FFD"/>
    <w:rsid w:val="008F39CD"/>
    <w:rsid w:val="009023EE"/>
    <w:rsid w:val="00904C10"/>
    <w:rsid w:val="0092043F"/>
    <w:rsid w:val="00924A38"/>
    <w:rsid w:val="00932CA4"/>
    <w:rsid w:val="00957284"/>
    <w:rsid w:val="009A4C16"/>
    <w:rsid w:val="00A056F4"/>
    <w:rsid w:val="00A129DD"/>
    <w:rsid w:val="00A13FFF"/>
    <w:rsid w:val="00A34DF2"/>
    <w:rsid w:val="00A54F46"/>
    <w:rsid w:val="00AA2A33"/>
    <w:rsid w:val="00AB0671"/>
    <w:rsid w:val="00AB0F29"/>
    <w:rsid w:val="00AC529D"/>
    <w:rsid w:val="00B13360"/>
    <w:rsid w:val="00B2564F"/>
    <w:rsid w:val="00B31F44"/>
    <w:rsid w:val="00B3446F"/>
    <w:rsid w:val="00B51163"/>
    <w:rsid w:val="00BA1FDE"/>
    <w:rsid w:val="00BC349F"/>
    <w:rsid w:val="00BE2854"/>
    <w:rsid w:val="00C17A89"/>
    <w:rsid w:val="00C25BE4"/>
    <w:rsid w:val="00C27848"/>
    <w:rsid w:val="00C43610"/>
    <w:rsid w:val="00C67712"/>
    <w:rsid w:val="00C97FE7"/>
    <w:rsid w:val="00CA651F"/>
    <w:rsid w:val="00CB273E"/>
    <w:rsid w:val="00CD76E2"/>
    <w:rsid w:val="00CD7A8C"/>
    <w:rsid w:val="00CF5E54"/>
    <w:rsid w:val="00D1384A"/>
    <w:rsid w:val="00D1414D"/>
    <w:rsid w:val="00D15102"/>
    <w:rsid w:val="00D2041C"/>
    <w:rsid w:val="00D30855"/>
    <w:rsid w:val="00D350CB"/>
    <w:rsid w:val="00D667B4"/>
    <w:rsid w:val="00D84B0C"/>
    <w:rsid w:val="00DA42A8"/>
    <w:rsid w:val="00DB5181"/>
    <w:rsid w:val="00E11522"/>
    <w:rsid w:val="00E46BD4"/>
    <w:rsid w:val="00E71912"/>
    <w:rsid w:val="00E97B2A"/>
    <w:rsid w:val="00EB4709"/>
    <w:rsid w:val="00EC5197"/>
    <w:rsid w:val="00EF0D60"/>
    <w:rsid w:val="00EF47B4"/>
    <w:rsid w:val="00F06F11"/>
    <w:rsid w:val="00F21D15"/>
    <w:rsid w:val="00F222FE"/>
    <w:rsid w:val="00F27CC7"/>
    <w:rsid w:val="00F4292A"/>
    <w:rsid w:val="00F67937"/>
    <w:rsid w:val="00FA27AA"/>
    <w:rsid w:val="00FB5276"/>
    <w:rsid w:val="19474ECF"/>
    <w:rsid w:val="24DF5FD6"/>
    <w:rsid w:val="39AA4DDA"/>
    <w:rsid w:val="3CB5114D"/>
    <w:rsid w:val="45D3349D"/>
    <w:rsid w:val="53CA6D31"/>
    <w:rsid w:val="551D2AB1"/>
    <w:rsid w:val="596A2A05"/>
    <w:rsid w:val="66335EA8"/>
    <w:rsid w:val="6816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934204-A942-4742-A1B0-7C7B12A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023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23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郭晓昕</dc:creator>
  <cp:lastModifiedBy>肖爱丽</cp:lastModifiedBy>
  <cp:revision>61</cp:revision>
  <dcterms:created xsi:type="dcterms:W3CDTF">2023-09-04T03:57:00Z</dcterms:created>
  <dcterms:modified xsi:type="dcterms:W3CDTF">2025-08-08T00:56:00Z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2360AA99945F40C2AE45A945C411725F_13</vt:lpwstr>
  </property>
</Properties>
</file>