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BF901">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1AB5B9B">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640" w:lineRule="exact"/>
        <w:ind w:firstLine="0" w:firstLineChars="0"/>
        <w:jc w:val="center"/>
        <w:textAlignment w:val="auto"/>
        <w:rPr>
          <w:rFonts w:ascii="Times New Roman" w:hAnsi="Times New Roman" w:eastAsia="方正小标宋简体" w:cs="Times New Roman"/>
          <w:sz w:val="44"/>
          <w:szCs w:val="48"/>
        </w:rPr>
      </w:pPr>
      <w:r>
        <w:rPr>
          <w:rFonts w:hint="eastAsia" w:ascii="Times New Roman" w:hAnsi="Times New Roman" w:eastAsia="方正小标宋简体" w:cs="Times New Roman"/>
          <w:sz w:val="44"/>
          <w:szCs w:val="48"/>
        </w:rPr>
        <w:t>《真实世界数据支持药品安全性主动监测</w:t>
      </w:r>
      <w:r>
        <w:rPr>
          <w:rFonts w:hint="eastAsia" w:ascii="Times New Roman" w:hAnsi="Times New Roman" w:eastAsia="方正小标宋简体" w:cs="Times New Roman"/>
          <w:sz w:val="44"/>
          <w:szCs w:val="48"/>
          <w:lang w:val="en-US" w:eastAsia="zh-CN"/>
        </w:rPr>
        <w:t xml:space="preserve">   </w:t>
      </w:r>
      <w:r>
        <w:rPr>
          <w:rFonts w:hint="eastAsia" w:ascii="Times New Roman" w:hAnsi="Times New Roman" w:eastAsia="方正小标宋简体" w:cs="Times New Roman"/>
          <w:sz w:val="44"/>
          <w:szCs w:val="48"/>
        </w:rPr>
        <w:t>的研究设计和分析指导原则（征求意见稿）》起草说明</w:t>
      </w:r>
    </w:p>
    <w:p w14:paraId="6C35401D">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起草</w:t>
      </w:r>
      <w:r>
        <w:rPr>
          <w:rFonts w:ascii="黑体" w:hAnsi="黑体" w:eastAsia="黑体"/>
          <w:sz w:val="32"/>
          <w:szCs w:val="32"/>
        </w:rPr>
        <w:t>背景</w:t>
      </w:r>
    </w:p>
    <w:p w14:paraId="2E91E60D">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spacing w:val="-6"/>
          <w:kern w:val="0"/>
          <w:sz w:val="32"/>
          <w:szCs w:val="32"/>
        </w:rPr>
      </w:pPr>
      <w:r>
        <w:rPr>
          <w:rFonts w:hint="default" w:ascii="Times New Roman" w:hAnsi="Times New Roman" w:eastAsia="仿宋" w:cs="Times New Roman"/>
          <w:color w:val="000000"/>
          <w:spacing w:val="-6"/>
          <w:kern w:val="0"/>
          <w:sz w:val="32"/>
          <w:szCs w:val="32"/>
        </w:rPr>
        <w:t>药品安全性主动监测（以下简称</w:t>
      </w:r>
      <w:r>
        <w:rPr>
          <w:rFonts w:hint="eastAsia" w:ascii="Times New Roman" w:hAnsi="Times New Roman" w:eastAsia="仿宋" w:cs="Times New Roman"/>
          <w:color w:val="000000"/>
          <w:spacing w:val="-6"/>
          <w:kern w:val="0"/>
          <w:sz w:val="32"/>
          <w:szCs w:val="32"/>
          <w:lang w:eastAsia="zh-CN"/>
        </w:rPr>
        <w:t>“</w:t>
      </w:r>
      <w:r>
        <w:rPr>
          <w:rFonts w:hint="default" w:ascii="Times New Roman" w:hAnsi="Times New Roman" w:eastAsia="仿宋" w:cs="Times New Roman"/>
          <w:color w:val="000000"/>
          <w:spacing w:val="-6"/>
          <w:kern w:val="0"/>
          <w:sz w:val="32"/>
          <w:szCs w:val="32"/>
        </w:rPr>
        <w:t>主动监测</w:t>
      </w:r>
      <w:r>
        <w:rPr>
          <w:rFonts w:hint="eastAsia" w:ascii="Times New Roman" w:hAnsi="Times New Roman" w:eastAsia="仿宋" w:cs="Times New Roman"/>
          <w:color w:val="000000"/>
          <w:spacing w:val="-6"/>
          <w:kern w:val="0"/>
          <w:sz w:val="32"/>
          <w:szCs w:val="32"/>
          <w:lang w:eastAsia="zh-CN"/>
        </w:rPr>
        <w:t>”</w:t>
      </w:r>
      <w:r>
        <w:rPr>
          <w:rFonts w:hint="default" w:ascii="Times New Roman" w:hAnsi="Times New Roman" w:eastAsia="仿宋" w:cs="Times New Roman"/>
          <w:color w:val="000000"/>
          <w:spacing w:val="-6"/>
          <w:kern w:val="0"/>
          <w:sz w:val="32"/>
          <w:szCs w:val="32"/>
        </w:rPr>
        <w:t>）通常可获得与已上市药品有关的更为全面、详尽的不良事件数据，与自发报告互为补充。真实世界数据是主动监测的主要数据来源，</w:t>
      </w:r>
      <w:r>
        <w:rPr>
          <w:rFonts w:hint="eastAsia" w:ascii="Times New Roman" w:hAnsi="Times New Roman" w:eastAsia="仿宋" w:cs="Times New Roman"/>
          <w:color w:val="000000"/>
          <w:spacing w:val="-6"/>
          <w:kern w:val="0"/>
          <w:sz w:val="32"/>
          <w:szCs w:val="32"/>
          <w:lang w:val="en-US" w:eastAsia="zh-CN"/>
        </w:rPr>
        <w:t>而</w:t>
      </w:r>
      <w:r>
        <w:rPr>
          <w:rFonts w:hint="default" w:ascii="Times New Roman" w:hAnsi="Times New Roman" w:eastAsia="仿宋" w:cs="Times New Roman"/>
          <w:color w:val="000000"/>
          <w:spacing w:val="-6"/>
          <w:kern w:val="0"/>
          <w:sz w:val="32"/>
          <w:szCs w:val="32"/>
        </w:rPr>
        <w:t>主动监测</w:t>
      </w:r>
      <w:r>
        <w:rPr>
          <w:rFonts w:hint="eastAsia" w:ascii="Times New Roman" w:hAnsi="Times New Roman" w:eastAsia="仿宋" w:cs="Times New Roman"/>
          <w:color w:val="000000"/>
          <w:spacing w:val="-6"/>
          <w:kern w:val="0"/>
          <w:sz w:val="32"/>
          <w:szCs w:val="32"/>
          <w:lang w:val="en-US" w:eastAsia="zh-CN"/>
        </w:rPr>
        <w:t>则</w:t>
      </w:r>
      <w:r>
        <w:rPr>
          <w:rFonts w:hint="default" w:ascii="Times New Roman" w:hAnsi="Times New Roman" w:eastAsia="仿宋" w:cs="Times New Roman"/>
          <w:color w:val="000000"/>
          <w:spacing w:val="-6"/>
          <w:kern w:val="0"/>
          <w:sz w:val="32"/>
          <w:szCs w:val="32"/>
        </w:rPr>
        <w:t>是</w:t>
      </w:r>
      <w:r>
        <w:rPr>
          <w:rFonts w:hint="eastAsia" w:ascii="Times New Roman" w:hAnsi="Times New Roman" w:eastAsia="仿宋" w:cs="Times New Roman"/>
          <w:color w:val="000000"/>
          <w:spacing w:val="-6"/>
          <w:kern w:val="0"/>
          <w:sz w:val="32"/>
          <w:szCs w:val="32"/>
          <w:lang w:val="en-US" w:eastAsia="zh-CN"/>
        </w:rPr>
        <w:t>利用</w:t>
      </w:r>
      <w:r>
        <w:rPr>
          <w:rFonts w:hint="default" w:ascii="Times New Roman" w:hAnsi="Times New Roman" w:eastAsia="仿宋" w:cs="Times New Roman"/>
          <w:color w:val="000000"/>
          <w:spacing w:val="-6"/>
          <w:kern w:val="0"/>
          <w:sz w:val="32"/>
          <w:szCs w:val="32"/>
        </w:rPr>
        <w:t>真实世界数据</w:t>
      </w:r>
      <w:r>
        <w:rPr>
          <w:rFonts w:hint="eastAsia" w:ascii="Times New Roman" w:hAnsi="Times New Roman" w:eastAsia="仿宋" w:cs="Times New Roman"/>
          <w:color w:val="000000"/>
          <w:spacing w:val="-6"/>
          <w:kern w:val="0"/>
          <w:sz w:val="32"/>
          <w:szCs w:val="32"/>
          <w:lang w:val="en-US" w:eastAsia="zh-CN"/>
        </w:rPr>
        <w:t>开展药品上市后</w:t>
      </w:r>
      <w:r>
        <w:rPr>
          <w:rFonts w:hint="default" w:ascii="Times New Roman" w:hAnsi="Times New Roman" w:eastAsia="仿宋" w:cs="Times New Roman"/>
          <w:color w:val="000000"/>
          <w:spacing w:val="-6"/>
          <w:kern w:val="0"/>
          <w:sz w:val="32"/>
          <w:szCs w:val="32"/>
        </w:rPr>
        <w:t>安全性评价的重要途径。</w:t>
      </w:r>
    </w:p>
    <w:p w14:paraId="7E462C74">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 w:cs="Times New Roman"/>
          <w:bCs/>
          <w:color w:val="000000"/>
          <w:kern w:val="0"/>
          <w:sz w:val="32"/>
          <w:szCs w:val="32"/>
        </w:rPr>
        <w:t>从数据到证据需要开展真实世界研究，科学的研究设计及合理的数据分析是高质量真实世界研究的关键，也</w:t>
      </w:r>
      <w:r>
        <w:rPr>
          <w:rFonts w:hint="default" w:ascii="Times New Roman" w:hAnsi="Times New Roman" w:eastAsia="仿宋" w:cs="Times New Roman"/>
          <w:sz w:val="32"/>
          <w:szCs w:val="32"/>
        </w:rPr>
        <w:t>是药品监管科学研究及</w:t>
      </w:r>
      <w:r>
        <w:rPr>
          <w:rFonts w:hint="eastAsia" w:ascii="Times New Roman" w:hAnsi="Times New Roman" w:eastAsia="仿宋" w:cs="Times New Roman"/>
          <w:sz w:val="32"/>
          <w:szCs w:val="32"/>
          <w:lang w:val="en-US" w:eastAsia="zh-CN"/>
        </w:rPr>
        <w:t>主动</w:t>
      </w:r>
      <w:r>
        <w:rPr>
          <w:rFonts w:hint="default" w:ascii="Times New Roman" w:hAnsi="Times New Roman" w:eastAsia="仿宋" w:cs="Times New Roman"/>
          <w:sz w:val="32"/>
          <w:szCs w:val="32"/>
        </w:rPr>
        <w:t>监测评价能力建设的重要内容。然而，基于真实世界数据开展主动监测研究还存在三个关键问题：</w:t>
      </w:r>
      <w:r>
        <w:rPr>
          <w:rFonts w:hint="default" w:ascii="Times New Roman" w:hAnsi="Times New Roman" w:eastAsia="仿宋" w:cs="Times New Roman"/>
          <w:b w:val="0"/>
          <w:bCs w:val="0"/>
          <w:sz w:val="32"/>
          <w:szCs w:val="32"/>
        </w:rPr>
        <w:t>一是</w:t>
      </w:r>
      <w:r>
        <w:rPr>
          <w:rFonts w:hint="default" w:ascii="Times New Roman" w:hAnsi="Times New Roman" w:eastAsia="仿宋" w:cs="Times New Roman"/>
          <w:sz w:val="32"/>
          <w:szCs w:val="32"/>
        </w:rPr>
        <w:t>针对药品安全性问题，在开展真实世界研究时需重点考虑的关键方法维度或要素有待明确；</w:t>
      </w:r>
      <w:r>
        <w:rPr>
          <w:rFonts w:hint="default" w:ascii="Times New Roman" w:hAnsi="Times New Roman" w:eastAsia="仿宋" w:cs="Times New Roman"/>
          <w:b w:val="0"/>
          <w:bCs w:val="0"/>
          <w:sz w:val="32"/>
          <w:szCs w:val="32"/>
        </w:rPr>
        <w:t>二是</w:t>
      </w:r>
      <w:r>
        <w:rPr>
          <w:rFonts w:hint="default" w:ascii="Times New Roman" w:hAnsi="Times New Roman" w:eastAsia="仿宋" w:cs="Times New Roman"/>
          <w:sz w:val="32"/>
          <w:szCs w:val="32"/>
        </w:rPr>
        <w:t>基于具体问题，应如何进行科学的研究设计，明确定义研究人群、目标暴露与对照、结局指标等关键研究要素尚不清楚；</w:t>
      </w:r>
      <w:r>
        <w:rPr>
          <w:rFonts w:hint="default" w:ascii="Times New Roman" w:hAnsi="Times New Roman" w:eastAsia="仿宋" w:cs="Times New Roman"/>
          <w:b w:val="0"/>
          <w:bCs w:val="0"/>
          <w:sz w:val="32"/>
          <w:szCs w:val="32"/>
        </w:rPr>
        <w:t>三是</w:t>
      </w:r>
      <w:r>
        <w:rPr>
          <w:rFonts w:hint="default" w:ascii="Times New Roman" w:hAnsi="Times New Roman" w:eastAsia="仿宋" w:cs="Times New Roman"/>
          <w:sz w:val="32"/>
          <w:szCs w:val="32"/>
        </w:rPr>
        <w:t>针对药品安全性研究特点，例如罕见结局，如何选择严谨合理的统计分析方法，控制观察性真实世界研究多种偏倚来源，有效利用数据信息，形成可支持监管决策的高质量真实世界证据，尚未阐明。</w:t>
      </w:r>
    </w:p>
    <w:p w14:paraId="52CFD7F2">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2025年发布的《真实世界数据支持药品安全性主动监测的一般原则》（以下简称《一般原则》），对利用真实世界数据开展药品上市后安全性主动监测的数据来源</w:t>
      </w:r>
      <w:r>
        <w:rPr>
          <w:rFonts w:hint="eastAsia" w:ascii="Times New Roman" w:hAnsi="Times New Roman" w:eastAsia="仿宋" w:cs="Times New Roman"/>
          <w:color w:val="000000"/>
          <w:kern w:val="0"/>
          <w:sz w:val="32"/>
          <w:szCs w:val="32"/>
          <w:lang w:val="en-US" w:eastAsia="zh-CN"/>
        </w:rPr>
        <w:t>与</w:t>
      </w:r>
      <w:r>
        <w:rPr>
          <w:rFonts w:hint="default" w:ascii="Times New Roman" w:hAnsi="Times New Roman" w:eastAsia="仿宋" w:cs="Times New Roman"/>
          <w:color w:val="000000"/>
          <w:kern w:val="0"/>
          <w:sz w:val="32"/>
          <w:szCs w:val="32"/>
        </w:rPr>
        <w:t>类型、适用范围、一般流程及实施技术提出了总体要求。作为《一般原则》的延伸</w:t>
      </w:r>
      <w:r>
        <w:rPr>
          <w:rFonts w:hint="eastAsia" w:ascii="Times New Roman" w:hAnsi="Times New Roman" w:eastAsia="仿宋" w:cs="Times New Roman"/>
          <w:color w:val="000000"/>
          <w:kern w:val="0"/>
          <w:sz w:val="32"/>
          <w:szCs w:val="32"/>
          <w:lang w:val="en-US" w:eastAsia="zh-CN"/>
        </w:rPr>
        <w:t>和</w:t>
      </w:r>
      <w:r>
        <w:rPr>
          <w:rFonts w:hint="default" w:ascii="Times New Roman" w:hAnsi="Times New Roman" w:eastAsia="仿宋" w:cs="Times New Roman"/>
          <w:color w:val="000000"/>
          <w:kern w:val="0"/>
          <w:sz w:val="32"/>
          <w:szCs w:val="32"/>
        </w:rPr>
        <w:t>具体方法技术的补充，</w:t>
      </w:r>
      <w:r>
        <w:rPr>
          <w:rFonts w:hint="default" w:ascii="Times New Roman" w:hAnsi="Times New Roman" w:eastAsia="仿宋" w:cs="Times New Roman"/>
          <w:sz w:val="32"/>
          <w:szCs w:val="32"/>
        </w:rPr>
        <w:t>本指导原则将重点阐述和明确基于真实世界数据进行药品</w:t>
      </w:r>
      <w:r>
        <w:rPr>
          <w:rFonts w:hint="eastAsia" w:ascii="Times New Roman" w:hAnsi="Times New Roman" w:eastAsia="仿宋" w:cs="Times New Roman"/>
          <w:sz w:val="32"/>
          <w:szCs w:val="32"/>
          <w:lang w:val="en-US" w:eastAsia="zh-CN"/>
        </w:rPr>
        <w:t>安全性</w:t>
      </w:r>
      <w:r>
        <w:rPr>
          <w:rFonts w:hint="default" w:ascii="Times New Roman" w:hAnsi="Times New Roman" w:eastAsia="仿宋" w:cs="Times New Roman"/>
          <w:sz w:val="32"/>
          <w:szCs w:val="32"/>
        </w:rPr>
        <w:t>主动监测的研究设计和统计分析关键考量和基本要求，不涉及数据采集、治理等数据库构建相关内容，旨在为发起和参与主动监测的药品上市许可持有人、研究机构等提供参考，进一步规范和促进真实世界数据在药品安全性主动监测的合理应用。</w:t>
      </w:r>
    </w:p>
    <w:p w14:paraId="0628F8CE">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起草过程</w:t>
      </w:r>
    </w:p>
    <w:p w14:paraId="11F0415A">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楷体" w:hAnsi="楷体" w:eastAsia="楷体" w:cs="楷体"/>
          <w:color w:val="000000"/>
          <w:kern w:val="0"/>
          <w:sz w:val="32"/>
          <w:szCs w:val="32"/>
          <w:lang w:val="en-US"/>
        </w:rPr>
      </w:pPr>
      <w:r>
        <w:rPr>
          <w:rFonts w:hint="eastAsia" w:ascii="楷体" w:hAnsi="楷体" w:eastAsia="楷体" w:cs="楷体"/>
          <w:color w:val="000000"/>
          <w:kern w:val="0"/>
          <w:sz w:val="32"/>
          <w:szCs w:val="32"/>
        </w:rPr>
        <w:t>（一）研究</w:t>
      </w:r>
      <w:r>
        <w:rPr>
          <w:rFonts w:hint="eastAsia" w:ascii="楷体" w:hAnsi="楷体" w:eastAsia="楷体" w:cs="楷体"/>
          <w:color w:val="000000"/>
          <w:kern w:val="0"/>
          <w:sz w:val="32"/>
          <w:szCs w:val="32"/>
          <w:lang w:val="en-US" w:eastAsia="zh-CN"/>
        </w:rPr>
        <w:t>起草情况</w:t>
      </w:r>
    </w:p>
    <w:p w14:paraId="5AA8D9DC">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在前期监管科学课题研究及</w:t>
      </w:r>
      <w:r>
        <w:rPr>
          <w:rFonts w:hint="eastAsia" w:ascii="Times New Roman" w:hAnsi="Times New Roman" w:eastAsia="仿宋" w:cs="Times New Roman"/>
          <w:color w:val="000000"/>
          <w:kern w:val="0"/>
          <w:sz w:val="32"/>
          <w:szCs w:val="32"/>
        </w:rPr>
        <w:t>2025年发布的</w:t>
      </w:r>
      <w:r>
        <w:rPr>
          <w:rFonts w:hint="default" w:ascii="Times New Roman" w:hAnsi="Times New Roman" w:eastAsia="仿宋" w:cs="Times New Roman"/>
          <w:color w:val="000000"/>
          <w:kern w:val="0"/>
          <w:sz w:val="32"/>
          <w:szCs w:val="32"/>
        </w:rPr>
        <w:t>《一般原则》</w:t>
      </w:r>
      <w:r>
        <w:rPr>
          <w:rFonts w:hint="eastAsia" w:ascii="Times New Roman" w:hAnsi="Times New Roman" w:eastAsia="仿宋" w:cs="Times New Roman"/>
          <w:color w:val="000000"/>
          <w:kern w:val="0"/>
          <w:sz w:val="32"/>
          <w:szCs w:val="32"/>
          <w:lang w:val="en-US" w:eastAsia="zh-CN"/>
        </w:rPr>
        <w:t>基础上，</w:t>
      </w:r>
      <w:r>
        <w:rPr>
          <w:rFonts w:hint="eastAsia" w:ascii="Times New Roman" w:hAnsi="Times New Roman" w:eastAsia="仿宋" w:cs="Times New Roman"/>
          <w:color w:val="000000"/>
          <w:kern w:val="0"/>
          <w:sz w:val="32"/>
          <w:szCs w:val="32"/>
        </w:rPr>
        <w:t>评价中心</w:t>
      </w:r>
      <w:r>
        <w:rPr>
          <w:rFonts w:hint="eastAsia" w:ascii="Times New Roman" w:hAnsi="Times New Roman" w:eastAsia="仿宋" w:cs="Times New Roman"/>
          <w:color w:val="000000"/>
          <w:kern w:val="0"/>
          <w:sz w:val="32"/>
          <w:szCs w:val="32"/>
          <w:lang w:val="en-US" w:eastAsia="zh-CN"/>
        </w:rPr>
        <w:t>与</w:t>
      </w:r>
      <w:r>
        <w:rPr>
          <w:rFonts w:hint="eastAsia" w:ascii="Times New Roman" w:hAnsi="Times New Roman" w:eastAsia="仿宋" w:cs="Times New Roman"/>
          <w:color w:val="000000"/>
          <w:kern w:val="0"/>
          <w:sz w:val="32"/>
          <w:szCs w:val="32"/>
        </w:rPr>
        <w:t>四川大学华西医院中国循证医学中心</w:t>
      </w:r>
      <w:r>
        <w:rPr>
          <w:rFonts w:hint="eastAsia" w:ascii="Times New Roman" w:hAnsi="Times New Roman" w:eastAsia="仿宋" w:cs="Times New Roman"/>
          <w:color w:val="000000"/>
          <w:kern w:val="0"/>
          <w:sz w:val="32"/>
          <w:szCs w:val="32"/>
          <w:lang w:val="en-US" w:eastAsia="zh-CN"/>
        </w:rPr>
        <w:t>共同开展《真实世界数据支持药品安全性主动监测的研究设计和分析方法研究》，课题组</w:t>
      </w:r>
      <w:r>
        <w:rPr>
          <w:rFonts w:hint="eastAsia" w:ascii="Times New Roman" w:hAnsi="Times New Roman" w:eastAsia="仿宋" w:cs="Times New Roman"/>
          <w:color w:val="000000"/>
          <w:kern w:val="0"/>
          <w:sz w:val="32"/>
          <w:szCs w:val="32"/>
        </w:rPr>
        <w:t>在系统梳理前期研究成果、实践案例及国内外相关</w:t>
      </w:r>
      <w:r>
        <w:rPr>
          <w:rFonts w:hint="eastAsia" w:ascii="Times New Roman" w:hAnsi="Times New Roman" w:eastAsia="仿宋" w:cs="Times New Roman"/>
          <w:color w:val="000000"/>
          <w:kern w:val="0"/>
          <w:sz w:val="32"/>
          <w:szCs w:val="32"/>
          <w:lang w:val="en-US" w:eastAsia="zh-CN"/>
        </w:rPr>
        <w:t>法规</w:t>
      </w:r>
      <w:r>
        <w:rPr>
          <w:rFonts w:hint="eastAsia" w:ascii="Times New Roman" w:hAnsi="Times New Roman" w:eastAsia="仿宋" w:cs="Times New Roman"/>
          <w:color w:val="000000"/>
          <w:kern w:val="0"/>
          <w:sz w:val="32"/>
          <w:szCs w:val="32"/>
        </w:rPr>
        <w:t>政策文件的基础上，形成</w:t>
      </w:r>
      <w:r>
        <w:rPr>
          <w:rFonts w:hint="eastAsia" w:ascii="Times New Roman" w:hAnsi="Times New Roman" w:eastAsia="仿宋" w:cs="Times New Roman"/>
          <w:color w:val="000000"/>
          <w:kern w:val="0"/>
          <w:sz w:val="32"/>
          <w:szCs w:val="32"/>
          <w:lang w:val="en-US" w:eastAsia="zh-CN"/>
        </w:rPr>
        <w:t>本</w:t>
      </w:r>
      <w:r>
        <w:rPr>
          <w:rFonts w:hint="eastAsia" w:ascii="Times New Roman" w:hAnsi="Times New Roman" w:eastAsia="仿宋" w:cs="Times New Roman"/>
          <w:color w:val="000000"/>
          <w:kern w:val="0"/>
          <w:sz w:val="32"/>
          <w:szCs w:val="32"/>
        </w:rPr>
        <w:t>指导原则</w:t>
      </w:r>
      <w:r>
        <w:rPr>
          <w:rFonts w:hint="eastAsia" w:ascii="Times New Roman" w:hAnsi="Times New Roman" w:eastAsia="仿宋" w:cs="Times New Roman"/>
          <w:color w:val="000000"/>
          <w:kern w:val="0"/>
          <w:sz w:val="32"/>
          <w:szCs w:val="32"/>
          <w:lang w:val="en-US" w:eastAsia="zh-CN"/>
        </w:rPr>
        <w:t>的</w:t>
      </w:r>
      <w:r>
        <w:rPr>
          <w:rFonts w:hint="eastAsia" w:ascii="Times New Roman" w:hAnsi="Times New Roman" w:eastAsia="仿宋" w:cs="Times New Roman"/>
          <w:color w:val="000000"/>
          <w:kern w:val="0"/>
          <w:sz w:val="32"/>
          <w:szCs w:val="32"/>
        </w:rPr>
        <w:t>初稿。</w:t>
      </w:r>
    </w:p>
    <w:p w14:paraId="21DEA6CC">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w:t>
      </w:r>
      <w:r>
        <w:rPr>
          <w:rFonts w:hint="eastAsia" w:ascii="楷体" w:hAnsi="楷体" w:eastAsia="楷体" w:cs="楷体"/>
          <w:color w:val="000000"/>
          <w:kern w:val="0"/>
          <w:sz w:val="32"/>
          <w:szCs w:val="32"/>
          <w:lang w:val="en-US" w:eastAsia="zh-CN"/>
        </w:rPr>
        <w:t>专家</w:t>
      </w:r>
      <w:r>
        <w:rPr>
          <w:rFonts w:hint="eastAsia" w:ascii="楷体" w:hAnsi="楷体" w:eastAsia="楷体" w:cs="楷体"/>
          <w:color w:val="000000"/>
          <w:kern w:val="0"/>
          <w:sz w:val="32"/>
          <w:szCs w:val="32"/>
        </w:rPr>
        <w:t>论证情况</w:t>
      </w:r>
    </w:p>
    <w:p w14:paraId="2AEAD6FC">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2025年11月、</w:t>
      </w:r>
      <w:r>
        <w:rPr>
          <w:rFonts w:hint="eastAsia" w:ascii="Times New Roman" w:hAnsi="Times New Roman" w:eastAsia="仿宋" w:cs="Times New Roman"/>
          <w:color w:val="000000"/>
          <w:kern w:val="0"/>
          <w:sz w:val="32"/>
          <w:szCs w:val="32"/>
        </w:rPr>
        <w:t>202</w:t>
      </w:r>
      <w:r>
        <w:rPr>
          <w:rFonts w:hint="eastAsia" w:ascii="Times New Roman" w:hAnsi="Times New Roman" w:eastAsia="仿宋" w:cs="Times New Roman"/>
          <w:color w:val="000000"/>
          <w:kern w:val="0"/>
          <w:sz w:val="32"/>
          <w:szCs w:val="32"/>
          <w:lang w:val="en-US" w:eastAsia="zh-CN"/>
        </w:rPr>
        <w:t>6</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000000"/>
          <w:kern w:val="0"/>
          <w:sz w:val="32"/>
          <w:szCs w:val="32"/>
          <w:lang w:val="en-US" w:eastAsia="zh-CN"/>
        </w:rPr>
        <w:t>5</w:t>
      </w:r>
      <w:r>
        <w:rPr>
          <w:rFonts w:hint="eastAsia" w:ascii="Times New Roman" w:hAnsi="Times New Roman" w:eastAsia="仿宋" w:cs="Times New Roman"/>
          <w:color w:val="000000"/>
          <w:kern w:val="0"/>
          <w:sz w:val="32"/>
          <w:szCs w:val="32"/>
        </w:rPr>
        <w:t>月</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评价中心两次</w:t>
      </w:r>
      <w:r>
        <w:rPr>
          <w:rFonts w:hint="eastAsia" w:ascii="Times New Roman" w:hAnsi="Times New Roman" w:eastAsia="仿宋" w:cs="Times New Roman"/>
          <w:color w:val="000000"/>
          <w:kern w:val="0"/>
          <w:sz w:val="32"/>
          <w:szCs w:val="32"/>
        </w:rPr>
        <w:t>组织</w:t>
      </w:r>
      <w:r>
        <w:rPr>
          <w:rFonts w:hint="eastAsia" w:ascii="Times New Roman" w:hAnsi="Times New Roman" w:eastAsia="仿宋" w:cs="Times New Roman"/>
          <w:color w:val="000000"/>
          <w:kern w:val="0"/>
          <w:sz w:val="32"/>
          <w:szCs w:val="32"/>
          <w:lang w:val="en-US" w:eastAsia="zh-CN"/>
        </w:rPr>
        <w:t>召开</w:t>
      </w:r>
      <w:r>
        <w:rPr>
          <w:rFonts w:hint="eastAsia" w:ascii="Times New Roman" w:hAnsi="Times New Roman" w:eastAsia="仿宋" w:cs="Times New Roman"/>
          <w:color w:val="000000"/>
          <w:kern w:val="0"/>
          <w:sz w:val="32"/>
          <w:szCs w:val="32"/>
        </w:rPr>
        <w:t>真实世界数据相关主动监测指导原则专家讨论会</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会议邀请</w:t>
      </w:r>
      <w:r>
        <w:rPr>
          <w:rFonts w:hint="eastAsia" w:ascii="Times New Roman" w:hAnsi="Times New Roman" w:eastAsia="仿宋" w:cs="Times New Roman"/>
          <w:color w:val="000000"/>
          <w:kern w:val="0"/>
          <w:sz w:val="32"/>
          <w:szCs w:val="32"/>
          <w:lang w:val="en-US" w:eastAsia="zh-CN"/>
        </w:rPr>
        <w:t>来自</w:t>
      </w:r>
      <w:r>
        <w:rPr>
          <w:rFonts w:hint="eastAsia" w:ascii="Times New Roman" w:hAnsi="Times New Roman" w:eastAsia="仿宋" w:cs="Times New Roman"/>
          <w:color w:val="000000"/>
          <w:kern w:val="0"/>
          <w:sz w:val="32"/>
          <w:szCs w:val="32"/>
        </w:rPr>
        <w:t>医疗机构、高等院校、监测机构及</w:t>
      </w:r>
      <w:r>
        <w:rPr>
          <w:rFonts w:hint="eastAsia" w:ascii="Times New Roman" w:hAnsi="Times New Roman" w:eastAsia="仿宋" w:cs="Times New Roman"/>
          <w:color w:val="000000"/>
          <w:kern w:val="0"/>
          <w:sz w:val="32"/>
          <w:szCs w:val="32"/>
          <w:lang w:val="en-US" w:eastAsia="zh-CN"/>
        </w:rPr>
        <w:t>企业界等领域的专家，</w:t>
      </w:r>
      <w:r>
        <w:rPr>
          <w:rFonts w:hint="eastAsia" w:ascii="Times New Roman" w:hAnsi="Times New Roman" w:eastAsia="仿宋" w:cs="Times New Roman"/>
          <w:color w:val="000000"/>
          <w:kern w:val="0"/>
          <w:sz w:val="32"/>
          <w:szCs w:val="32"/>
        </w:rPr>
        <w:t>对指导原则初稿进行充分讨论</w:t>
      </w:r>
      <w:r>
        <w:rPr>
          <w:rFonts w:hint="eastAsia" w:ascii="Times New Roman" w:hAnsi="Times New Roman" w:eastAsia="仿宋" w:cs="Times New Roman"/>
          <w:color w:val="000000"/>
          <w:kern w:val="0"/>
          <w:sz w:val="32"/>
          <w:szCs w:val="32"/>
          <w:lang w:val="en-US" w:eastAsia="zh-CN"/>
        </w:rPr>
        <w:t>与</w:t>
      </w:r>
      <w:r>
        <w:rPr>
          <w:rFonts w:hint="eastAsia" w:ascii="Times New Roman" w:hAnsi="Times New Roman" w:eastAsia="仿宋" w:cs="Times New Roman"/>
          <w:color w:val="000000"/>
          <w:kern w:val="0"/>
          <w:sz w:val="32"/>
          <w:szCs w:val="32"/>
        </w:rPr>
        <w:t>论证</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结合专家意见进行</w:t>
      </w:r>
      <w:r>
        <w:rPr>
          <w:rFonts w:hint="eastAsia" w:ascii="Times New Roman" w:hAnsi="Times New Roman" w:eastAsia="仿宋" w:cs="Times New Roman"/>
          <w:color w:val="000000"/>
          <w:kern w:val="0"/>
          <w:sz w:val="32"/>
          <w:szCs w:val="32"/>
        </w:rPr>
        <w:t>修改</w:t>
      </w:r>
      <w:r>
        <w:rPr>
          <w:rFonts w:hint="eastAsia" w:ascii="Times New Roman" w:hAnsi="Times New Roman" w:eastAsia="仿宋" w:cs="Times New Roman"/>
          <w:color w:val="000000"/>
          <w:kern w:val="0"/>
          <w:sz w:val="32"/>
          <w:szCs w:val="32"/>
          <w:lang w:val="en-US" w:eastAsia="zh-CN"/>
        </w:rPr>
        <w:t>后，再次提交专家函审，</w:t>
      </w:r>
      <w:r>
        <w:rPr>
          <w:rFonts w:hint="eastAsia" w:ascii="Times New Roman" w:hAnsi="Times New Roman" w:eastAsia="仿宋" w:cs="Times New Roman"/>
          <w:color w:val="000000"/>
          <w:kern w:val="0"/>
          <w:sz w:val="32"/>
          <w:szCs w:val="32"/>
        </w:rPr>
        <w:t>并征求评价中心相关部门意见，形成本指导原则的征求意见稿。</w:t>
      </w:r>
    </w:p>
    <w:p w14:paraId="70E1B558">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eastAsia="黑体"/>
          <w:sz w:val="32"/>
          <w:szCs w:val="32"/>
        </w:rPr>
      </w:pPr>
      <w:r>
        <w:rPr>
          <w:rFonts w:hint="eastAsia" w:eastAsia="黑体"/>
          <w:sz w:val="32"/>
          <w:szCs w:val="32"/>
        </w:rPr>
        <w:t>三</w:t>
      </w:r>
      <w:r>
        <w:rPr>
          <w:rFonts w:eastAsia="黑体"/>
          <w:sz w:val="32"/>
          <w:szCs w:val="32"/>
        </w:rPr>
        <w:t>、</w:t>
      </w:r>
      <w:r>
        <w:rPr>
          <w:rFonts w:hint="eastAsia" w:ascii="黑体" w:hAnsi="黑体" w:eastAsia="黑体"/>
          <w:sz w:val="32"/>
          <w:szCs w:val="32"/>
        </w:rPr>
        <w:t>起草</w:t>
      </w:r>
      <w:r>
        <w:rPr>
          <w:rFonts w:eastAsia="黑体"/>
          <w:sz w:val="32"/>
          <w:szCs w:val="32"/>
        </w:rPr>
        <w:t>思路</w:t>
      </w:r>
      <w:r>
        <w:rPr>
          <w:rFonts w:hint="eastAsia" w:eastAsia="黑体"/>
          <w:sz w:val="32"/>
          <w:szCs w:val="32"/>
        </w:rPr>
        <w:t xml:space="preserve"> </w:t>
      </w:r>
    </w:p>
    <w:p w14:paraId="5804153F">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本指导原则</w:t>
      </w:r>
      <w:r>
        <w:rPr>
          <w:rFonts w:hint="eastAsia" w:ascii="Times New Roman" w:hAnsi="Times New Roman" w:eastAsia="仿宋" w:cs="Times New Roman"/>
          <w:color w:val="000000"/>
          <w:kern w:val="0"/>
          <w:sz w:val="32"/>
          <w:szCs w:val="32"/>
          <w:lang w:val="en-US" w:eastAsia="zh-CN"/>
        </w:rPr>
        <w:t>坚持问题导向</w:t>
      </w:r>
      <w:r>
        <w:rPr>
          <w:rFonts w:hint="eastAsia" w:ascii="Times New Roman" w:hAnsi="Times New Roman" w:eastAsia="仿宋" w:cs="Times New Roman"/>
          <w:color w:val="000000"/>
          <w:kern w:val="0"/>
          <w:sz w:val="32"/>
          <w:szCs w:val="32"/>
        </w:rPr>
        <w:t>，聚焦基于真实世界数据开展药品上市后安全性主动监测的核心问题，重点</w:t>
      </w:r>
      <w:r>
        <w:rPr>
          <w:rFonts w:hint="eastAsia" w:ascii="Times New Roman" w:hAnsi="Times New Roman" w:eastAsia="仿宋" w:cs="Times New Roman"/>
          <w:color w:val="000000"/>
          <w:kern w:val="0"/>
          <w:sz w:val="32"/>
          <w:szCs w:val="32"/>
          <w:lang w:eastAsia="zh-CN"/>
        </w:rPr>
        <w:t>阐述</w:t>
      </w:r>
      <w:r>
        <w:rPr>
          <w:rFonts w:hint="eastAsia" w:ascii="Times New Roman" w:hAnsi="Times New Roman" w:eastAsia="仿宋" w:cs="Times New Roman"/>
          <w:color w:val="000000"/>
          <w:kern w:val="0"/>
          <w:sz w:val="32"/>
          <w:szCs w:val="32"/>
        </w:rPr>
        <w:t>研究设计</w:t>
      </w:r>
      <w:r>
        <w:rPr>
          <w:rFonts w:hint="eastAsia" w:ascii="Times New Roman" w:hAnsi="Times New Roman" w:eastAsia="仿宋" w:cs="Times New Roman"/>
          <w:color w:val="000000"/>
          <w:kern w:val="0"/>
          <w:sz w:val="32"/>
          <w:szCs w:val="32"/>
          <w:lang w:val="en-US" w:eastAsia="zh-CN"/>
        </w:rPr>
        <w:t>与</w:t>
      </w:r>
      <w:r>
        <w:rPr>
          <w:rFonts w:hint="eastAsia" w:ascii="Times New Roman" w:hAnsi="Times New Roman" w:eastAsia="仿宋" w:cs="Times New Roman"/>
          <w:color w:val="000000"/>
          <w:kern w:val="0"/>
          <w:sz w:val="32"/>
          <w:szCs w:val="32"/>
        </w:rPr>
        <w:t>统计分析</w:t>
      </w:r>
      <w:r>
        <w:rPr>
          <w:rFonts w:hint="eastAsia" w:ascii="Times New Roman" w:hAnsi="Times New Roman" w:eastAsia="仿宋" w:cs="Times New Roman"/>
          <w:color w:val="000000"/>
          <w:kern w:val="0"/>
          <w:sz w:val="32"/>
          <w:szCs w:val="32"/>
          <w:lang w:val="en-US" w:eastAsia="zh-CN"/>
        </w:rPr>
        <w:t>的</w:t>
      </w:r>
      <w:r>
        <w:rPr>
          <w:rFonts w:hint="eastAsia" w:ascii="Times New Roman" w:hAnsi="Times New Roman" w:eastAsia="仿宋" w:cs="Times New Roman"/>
          <w:color w:val="000000"/>
          <w:kern w:val="0"/>
          <w:sz w:val="32"/>
          <w:szCs w:val="32"/>
        </w:rPr>
        <w:t>关键考量</w:t>
      </w:r>
      <w:r>
        <w:rPr>
          <w:rFonts w:hint="eastAsia" w:ascii="Times New Roman" w:hAnsi="Times New Roman" w:eastAsia="仿宋" w:cs="Times New Roman"/>
          <w:color w:val="000000"/>
          <w:kern w:val="0"/>
          <w:sz w:val="32"/>
          <w:szCs w:val="32"/>
          <w:lang w:val="en-US" w:eastAsia="zh-CN"/>
        </w:rPr>
        <w:t>及</w:t>
      </w:r>
      <w:r>
        <w:rPr>
          <w:rFonts w:hint="eastAsia" w:ascii="Times New Roman" w:hAnsi="Times New Roman" w:eastAsia="仿宋" w:cs="Times New Roman"/>
          <w:color w:val="000000"/>
          <w:kern w:val="0"/>
          <w:sz w:val="32"/>
          <w:szCs w:val="32"/>
        </w:rPr>
        <w:t>基本要求</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目的是</w:t>
      </w:r>
      <w:r>
        <w:rPr>
          <w:rFonts w:hint="eastAsia" w:ascii="Times New Roman" w:hAnsi="Times New Roman" w:eastAsia="仿宋" w:cs="Times New Roman"/>
          <w:color w:val="000000"/>
          <w:kern w:val="0"/>
          <w:sz w:val="32"/>
          <w:szCs w:val="32"/>
        </w:rPr>
        <w:t>进一步规范和促进真实世界数据在药品上市后安全性主动监测的合理应用。</w:t>
      </w:r>
    </w:p>
    <w:p w14:paraId="2DC8C91C">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eastAsia="zh-CN"/>
        </w:rPr>
      </w:pPr>
      <w:r>
        <w:rPr>
          <w:rFonts w:hint="eastAsia" w:ascii="Times New Roman" w:hAnsi="Times New Roman" w:eastAsia="仿宋" w:cs="Times New Roman"/>
          <w:color w:val="000000"/>
          <w:kern w:val="0"/>
          <w:sz w:val="32"/>
          <w:szCs w:val="32"/>
        </w:rPr>
        <w:t>本指导原则主要</w:t>
      </w:r>
      <w:r>
        <w:rPr>
          <w:rFonts w:hint="eastAsia" w:ascii="Times New Roman" w:hAnsi="Times New Roman" w:eastAsia="仿宋" w:cs="Times New Roman"/>
          <w:color w:val="000000"/>
          <w:kern w:val="0"/>
          <w:sz w:val="32"/>
          <w:szCs w:val="32"/>
          <w:lang w:val="en-US" w:eastAsia="zh-CN"/>
        </w:rPr>
        <w:t>围绕以下三</w:t>
      </w:r>
      <w:r>
        <w:rPr>
          <w:rFonts w:hint="eastAsia" w:ascii="Times New Roman" w:hAnsi="Times New Roman" w:eastAsia="仿宋" w:cs="Times New Roman"/>
          <w:color w:val="000000"/>
          <w:kern w:val="0"/>
          <w:sz w:val="32"/>
          <w:szCs w:val="32"/>
        </w:rPr>
        <w:t>个关键问题</w:t>
      </w:r>
      <w:r>
        <w:rPr>
          <w:rFonts w:hint="eastAsia" w:ascii="Times New Roman" w:hAnsi="Times New Roman" w:eastAsia="仿宋" w:cs="Times New Roman"/>
          <w:color w:val="000000"/>
          <w:kern w:val="0"/>
          <w:sz w:val="32"/>
          <w:szCs w:val="32"/>
          <w:lang w:val="en-US" w:eastAsia="zh-CN"/>
        </w:rPr>
        <w:t>展开：</w:t>
      </w:r>
      <w:r>
        <w:rPr>
          <w:rFonts w:hint="eastAsia" w:ascii="Times New Roman" w:hAnsi="Times New Roman" w:eastAsia="仿宋" w:cs="Times New Roman"/>
          <w:color w:val="000000"/>
          <w:kern w:val="0"/>
          <w:sz w:val="32"/>
          <w:szCs w:val="32"/>
        </w:rPr>
        <w:t>一是开展真实世界研究时需重点考虑的关键方法维度或要素</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二是真实世界数据支持主动监测的研究设计要求</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三是针对药品安全性研究特点的统计分析方法</w:t>
      </w:r>
      <w:r>
        <w:rPr>
          <w:rFonts w:hint="eastAsia" w:ascii="Times New Roman" w:hAnsi="Times New Roman" w:eastAsia="仿宋" w:cs="Times New Roman"/>
          <w:color w:val="000000"/>
          <w:kern w:val="0"/>
          <w:sz w:val="32"/>
          <w:szCs w:val="32"/>
          <w:lang w:val="en-US" w:eastAsia="zh-CN"/>
        </w:rPr>
        <w:t>选择</w:t>
      </w:r>
      <w:r>
        <w:rPr>
          <w:rFonts w:hint="eastAsia" w:ascii="Times New Roman" w:hAnsi="Times New Roman" w:eastAsia="仿宋" w:cs="Times New Roman"/>
          <w:color w:val="000000"/>
          <w:kern w:val="0"/>
          <w:sz w:val="32"/>
          <w:szCs w:val="32"/>
          <w:lang w:eastAsia="zh-CN"/>
        </w:rPr>
        <w:t>。</w:t>
      </w:r>
    </w:p>
    <w:p w14:paraId="5184EAFF">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本指导原则仅代表药品监管部门当前的观点和认识</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随着药品监管科学研究的不断深入，指导原则中的相关要求及内容也将</w:t>
      </w:r>
      <w:r>
        <w:rPr>
          <w:rFonts w:hint="eastAsia" w:ascii="Times New Roman" w:hAnsi="Times New Roman" w:eastAsia="仿宋" w:cs="Times New Roman"/>
          <w:color w:val="000000"/>
          <w:kern w:val="0"/>
          <w:sz w:val="32"/>
          <w:szCs w:val="32"/>
          <w:lang w:val="en-US" w:eastAsia="zh-CN"/>
        </w:rPr>
        <w:t>持续</w:t>
      </w:r>
      <w:r>
        <w:rPr>
          <w:rFonts w:hint="default" w:ascii="Times New Roman" w:hAnsi="Times New Roman" w:eastAsia="仿宋" w:cs="Times New Roman"/>
          <w:color w:val="000000"/>
          <w:kern w:val="0"/>
          <w:sz w:val="32"/>
          <w:szCs w:val="32"/>
        </w:rPr>
        <w:t>完善。</w:t>
      </w:r>
    </w:p>
    <w:p w14:paraId="1A1A5CF3">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hint="eastAsia" w:ascii="黑体" w:hAnsi="黑体" w:eastAsia="黑体"/>
          <w:kern w:val="0"/>
          <w:sz w:val="32"/>
          <w:szCs w:val="32"/>
        </w:rPr>
        <w:t>四、</w:t>
      </w:r>
      <w:r>
        <w:rPr>
          <w:rFonts w:hint="eastAsia" w:ascii="黑体" w:hAnsi="黑体" w:eastAsia="黑体"/>
          <w:sz w:val="32"/>
          <w:szCs w:val="32"/>
        </w:rPr>
        <w:t>主要内容</w:t>
      </w:r>
    </w:p>
    <w:p w14:paraId="06067BAA">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本指导原则共分为</w:t>
      </w:r>
      <w:r>
        <w:rPr>
          <w:rFonts w:hint="eastAsia" w:ascii="Times New Roman" w:hAnsi="Times New Roman" w:eastAsia="仿宋" w:cs="Times New Roman"/>
          <w:color w:val="000000"/>
          <w:kern w:val="0"/>
          <w:sz w:val="32"/>
          <w:szCs w:val="32"/>
          <w:lang w:val="en-US" w:eastAsia="zh-CN"/>
        </w:rPr>
        <w:t>三</w:t>
      </w:r>
      <w:r>
        <w:rPr>
          <w:rFonts w:hint="eastAsia" w:ascii="Times New Roman" w:hAnsi="Times New Roman" w:eastAsia="仿宋" w:cs="Times New Roman"/>
          <w:color w:val="000000"/>
          <w:kern w:val="0"/>
          <w:sz w:val="32"/>
          <w:szCs w:val="32"/>
        </w:rPr>
        <w:t>章。</w:t>
      </w:r>
    </w:p>
    <w:p w14:paraId="5AAE5995">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一</w:t>
      </w:r>
      <w:r>
        <w:rPr>
          <w:rFonts w:hint="eastAsia" w:ascii="Times New Roman" w:hAnsi="Times New Roman" w:eastAsia="仿宋" w:cs="Times New Roman"/>
          <w:color w:val="000000"/>
          <w:kern w:val="0"/>
          <w:sz w:val="32"/>
          <w:szCs w:val="32"/>
        </w:rPr>
        <w:t>章 研究方案框架，说明针对药品安全性主动监测研究方案</w:t>
      </w:r>
      <w:r>
        <w:rPr>
          <w:rFonts w:hint="eastAsia" w:ascii="Times New Roman" w:hAnsi="Times New Roman" w:eastAsia="仿宋" w:cs="Times New Roman"/>
          <w:color w:val="000000"/>
          <w:kern w:val="0"/>
          <w:sz w:val="32"/>
          <w:szCs w:val="32"/>
          <w:lang w:val="en-US" w:eastAsia="zh-CN"/>
        </w:rPr>
        <w:t>及有关要求</w:t>
      </w:r>
      <w:r>
        <w:rPr>
          <w:rFonts w:hint="eastAsia" w:ascii="Times New Roman" w:hAnsi="Times New Roman" w:eastAsia="仿宋" w:cs="Times New Roman"/>
          <w:color w:val="000000"/>
          <w:kern w:val="0"/>
          <w:sz w:val="32"/>
          <w:szCs w:val="32"/>
        </w:rPr>
        <w:t>。</w:t>
      </w:r>
    </w:p>
    <w:p w14:paraId="018A6DD1">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二</w:t>
      </w:r>
      <w:r>
        <w:rPr>
          <w:rFonts w:hint="eastAsia" w:ascii="Times New Roman" w:hAnsi="Times New Roman" w:eastAsia="仿宋" w:cs="Times New Roman"/>
          <w:color w:val="000000"/>
          <w:kern w:val="0"/>
          <w:sz w:val="32"/>
          <w:szCs w:val="32"/>
        </w:rPr>
        <w:t>章 研究设计要求，</w:t>
      </w:r>
      <w:r>
        <w:rPr>
          <w:rFonts w:hint="eastAsia" w:ascii="Times New Roman" w:hAnsi="Times New Roman" w:eastAsia="仿宋" w:cs="Times New Roman"/>
          <w:color w:val="000000"/>
          <w:kern w:val="0"/>
          <w:sz w:val="32"/>
          <w:szCs w:val="32"/>
          <w:lang w:val="en-US" w:eastAsia="zh-CN"/>
        </w:rPr>
        <w:t>明确</w:t>
      </w:r>
      <w:r>
        <w:rPr>
          <w:rFonts w:hint="eastAsia" w:ascii="Times New Roman" w:hAnsi="Times New Roman" w:eastAsia="仿宋" w:cs="Times New Roman"/>
          <w:color w:val="000000"/>
          <w:kern w:val="0"/>
          <w:sz w:val="32"/>
          <w:szCs w:val="32"/>
        </w:rPr>
        <w:t>总体研究设计通常包括研究问题确定、流行病学设计选择、研究人群选择与定义、关键变量定义、潜在偏倚识别</w:t>
      </w:r>
      <w:r>
        <w:rPr>
          <w:rFonts w:hint="eastAsia" w:ascii="Times New Roman" w:hAnsi="Times New Roman" w:eastAsia="仿宋" w:cs="Times New Roman"/>
          <w:color w:val="000000"/>
          <w:kern w:val="0"/>
          <w:sz w:val="32"/>
          <w:szCs w:val="32"/>
          <w:lang w:val="en-US" w:eastAsia="zh-CN"/>
        </w:rPr>
        <w:t>及</w:t>
      </w:r>
      <w:r>
        <w:rPr>
          <w:rFonts w:hint="eastAsia" w:ascii="Times New Roman" w:hAnsi="Times New Roman" w:eastAsia="仿宋" w:cs="Times New Roman"/>
          <w:color w:val="000000"/>
          <w:kern w:val="0"/>
          <w:sz w:val="32"/>
          <w:szCs w:val="32"/>
        </w:rPr>
        <w:t>控制等关键要素设定。</w:t>
      </w:r>
    </w:p>
    <w:p w14:paraId="07B1A523">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三</w:t>
      </w:r>
      <w:r>
        <w:rPr>
          <w:rFonts w:hint="eastAsia" w:ascii="Times New Roman" w:hAnsi="Times New Roman" w:eastAsia="仿宋" w:cs="Times New Roman"/>
          <w:color w:val="000000"/>
          <w:kern w:val="0"/>
          <w:sz w:val="32"/>
          <w:szCs w:val="32"/>
        </w:rPr>
        <w:t>章 统计分析，</w:t>
      </w:r>
      <w:r>
        <w:rPr>
          <w:rFonts w:hint="eastAsia" w:ascii="Times New Roman" w:hAnsi="Times New Roman" w:eastAsia="仿宋" w:cs="Times New Roman"/>
          <w:color w:val="000000"/>
          <w:kern w:val="0"/>
          <w:sz w:val="32"/>
          <w:szCs w:val="32"/>
          <w:lang w:val="en-US" w:eastAsia="zh-CN"/>
        </w:rPr>
        <w:t>主要包括制定统计分析计划、样本量确定、药品不良反应信号评价的统计分析方法、缺失值处理、敏感性分析等。</w:t>
      </w:r>
    </w:p>
    <w:p w14:paraId="06962898">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val="en-US" w:eastAsia="zh-CN"/>
        </w:rPr>
      </w:pPr>
    </w:p>
    <w:p w14:paraId="0907978F">
      <w:pPr>
        <w:pStyle w:val="7"/>
        <w:keepNext w:val="0"/>
        <w:keepLines w:val="0"/>
        <w:pageBreakBefore w:val="0"/>
        <w:kinsoku/>
        <w:wordWrap/>
        <w:overflowPunct/>
        <w:topLinePunct w:val="0"/>
        <w:autoSpaceDE/>
        <w:autoSpaceDN/>
        <w:bidi w:val="0"/>
        <w:adjustRightInd w:val="0"/>
        <w:snapToGrid w:val="0"/>
        <w:spacing w:line="540" w:lineRule="exact"/>
        <w:ind w:left="1278" w:leftChars="304" w:hanging="640" w:hangingChars="200"/>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附：起草论证专家名单</w:t>
      </w:r>
    </w:p>
    <w:p w14:paraId="2DFED8D1">
      <w:pPr>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br w:type="page"/>
      </w:r>
    </w:p>
    <w:p w14:paraId="123A3D3F">
      <w:pPr>
        <w:pStyle w:val="7"/>
        <w:adjustRightInd w:val="0"/>
        <w:snapToGrid w:val="0"/>
        <w:spacing w:line="540" w:lineRule="exact"/>
        <w:ind w:firstLine="0" w:firstLineChars="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w:t>
      </w:r>
    </w:p>
    <w:p w14:paraId="75C940C5">
      <w:pPr>
        <w:pStyle w:val="7"/>
        <w:adjustRightInd w:val="0"/>
        <w:snapToGrid w:val="0"/>
        <w:spacing w:line="540" w:lineRule="exact"/>
        <w:ind w:firstLine="0" w:firstLineChars="0"/>
        <w:rPr>
          <w:rFonts w:hint="eastAsia" w:ascii="黑体" w:hAnsi="黑体" w:eastAsia="黑体" w:cs="黑体"/>
          <w:color w:val="000000"/>
          <w:kern w:val="0"/>
          <w:sz w:val="32"/>
          <w:szCs w:val="32"/>
        </w:rPr>
      </w:pPr>
    </w:p>
    <w:p w14:paraId="2C39FACE">
      <w:pPr>
        <w:pStyle w:val="7"/>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sz w:val="44"/>
          <w:szCs w:val="44"/>
        </w:rPr>
        <w:t>《真实世界数据支持药品安全性主动监测的研究设计和分析指导原则（征求意见稿）》起草论证专家名单</w:t>
      </w:r>
    </w:p>
    <w:p w14:paraId="514080F2">
      <w:pPr>
        <w:pStyle w:val="7"/>
        <w:adjustRightInd w:val="0"/>
        <w:snapToGrid w:val="0"/>
        <w:spacing w:line="540" w:lineRule="exact"/>
        <w:ind w:firstLine="640"/>
        <w:rPr>
          <w:rFonts w:hint="eastAsia" w:ascii="黑体" w:hAnsi="黑体" w:eastAsia="黑体"/>
          <w:kern w:val="0"/>
          <w:sz w:val="32"/>
          <w:szCs w:val="32"/>
        </w:rPr>
      </w:pPr>
    </w:p>
    <w:p w14:paraId="59B1E808">
      <w:pPr>
        <w:pStyle w:val="7"/>
        <w:adjustRightInd w:val="0"/>
        <w:snapToGrid w:val="0"/>
        <w:spacing w:line="540" w:lineRule="exact"/>
        <w:ind w:firstLine="640"/>
        <w:rPr>
          <w:rFonts w:ascii="黑体" w:hAnsi="黑体" w:eastAsia="黑体"/>
          <w:kern w:val="0"/>
          <w:sz w:val="32"/>
          <w:szCs w:val="32"/>
        </w:rPr>
      </w:pPr>
      <w:r>
        <w:rPr>
          <w:rFonts w:hint="eastAsia" w:ascii="黑体" w:hAnsi="黑体" w:eastAsia="黑体"/>
          <w:kern w:val="0"/>
          <w:sz w:val="32"/>
          <w:szCs w:val="32"/>
        </w:rPr>
        <w:t>一、起草小组</w:t>
      </w:r>
    </w:p>
    <w:p w14:paraId="6A10C2EB">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评价中心：宋海波、漆燕、孟康康、贾晋生、李娜</w:t>
      </w:r>
    </w:p>
    <w:p w14:paraId="267956E5">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四川大学华西医院：</w:t>
      </w:r>
      <w:r>
        <w:rPr>
          <w:rFonts w:hint="eastAsia" w:ascii="Times New Roman" w:hAnsi="Times New Roman" w:eastAsia="仿宋" w:cs="Times New Roman"/>
          <w:color w:val="000000"/>
          <w:kern w:val="0"/>
          <w:sz w:val="32"/>
          <w:szCs w:val="32"/>
          <w:highlight w:val="none"/>
          <w:lang w:val="en-US" w:eastAsia="zh-CN"/>
        </w:rPr>
        <w:t>王雯、徐嘉悦、陈雯雯、王雨宁、胡美婧</w:t>
      </w:r>
    </w:p>
    <w:p w14:paraId="2F99660D">
      <w:pPr>
        <w:pStyle w:val="7"/>
        <w:adjustRightInd w:val="0"/>
        <w:snapToGrid w:val="0"/>
        <w:spacing w:line="540" w:lineRule="exact"/>
        <w:ind w:firstLine="640"/>
        <w:rPr>
          <w:rFonts w:ascii="黑体" w:hAnsi="黑体" w:eastAsia="黑体"/>
          <w:kern w:val="0"/>
          <w:sz w:val="32"/>
          <w:szCs w:val="32"/>
        </w:rPr>
      </w:pPr>
      <w:r>
        <w:rPr>
          <w:rFonts w:hint="eastAsia" w:ascii="黑体" w:hAnsi="黑体" w:eastAsia="黑体"/>
          <w:kern w:val="0"/>
          <w:sz w:val="32"/>
          <w:szCs w:val="32"/>
          <w:lang w:val="en-US" w:eastAsia="zh-CN"/>
        </w:rPr>
        <w:t>二</w:t>
      </w:r>
      <w:r>
        <w:rPr>
          <w:rFonts w:hint="eastAsia" w:ascii="黑体" w:hAnsi="黑体" w:eastAsia="黑体"/>
          <w:kern w:val="0"/>
          <w:sz w:val="32"/>
          <w:szCs w:val="32"/>
        </w:rPr>
        <w:t>、参与论证专家</w:t>
      </w:r>
    </w:p>
    <w:p w14:paraId="0B214366">
      <w:pPr>
        <w:pStyle w:val="7"/>
        <w:adjustRightInd w:val="0"/>
        <w:snapToGrid w:val="0"/>
        <w:spacing w:line="540" w:lineRule="exact"/>
        <w:ind w:firstLine="640"/>
      </w:pPr>
      <w:r>
        <w:rPr>
          <w:rFonts w:hint="eastAsia" w:ascii="Times New Roman" w:hAnsi="Times New Roman" w:eastAsia="仿宋" w:cs="Times New Roman"/>
          <w:color w:val="000000"/>
          <w:kern w:val="0"/>
          <w:sz w:val="32"/>
          <w:szCs w:val="32"/>
          <w:lang w:val="en-US" w:eastAsia="zh-CN"/>
        </w:rPr>
        <w:t>詹思延、谢雁鸣、孙鑫、杨悦、高培、孙凤、黎国威、黄丽红、温泽淮、柳鹏程、钟蕾、李霞、于成章、熊慧瑜、黄凌、苗会青、王涛、冯胜</w:t>
      </w:r>
      <w:r>
        <w:rPr>
          <w:rFonts w:hint="eastAsia" w:ascii="Times New Roman" w:hAnsi="Times New Roman" w:eastAsia="仿宋" w:cs="Times New Roman"/>
          <w:color w:val="auto"/>
          <w:kern w:val="0"/>
          <w:sz w:val="32"/>
          <w:szCs w:val="32"/>
          <w:lang w:val="en-US" w:eastAsia="zh-CN"/>
        </w:rPr>
        <w:t>、钟佳颖、王丹、刘硕、王亚丽</w:t>
      </w:r>
      <w:bookmarkStart w:id="0" w:name="_GoBack"/>
      <w:bookmarkEnd w:id="0"/>
    </w:p>
    <w:p w14:paraId="7775BC82">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highlight w:val="yellow"/>
          <w:lang w:val="en-US" w:eastAsia="zh-CN"/>
        </w:rPr>
      </w:pPr>
    </w:p>
    <w:p w14:paraId="38BBF8A9">
      <w:pPr>
        <w:pStyle w:val="7"/>
        <w:adjustRightInd w:val="0"/>
        <w:snapToGrid w:val="0"/>
        <w:spacing w:line="560" w:lineRule="exact"/>
        <w:ind w:firstLine="640"/>
        <w:jc w:val="left"/>
        <w:rPr>
          <w:rFonts w:ascii="Times New Roman" w:hAnsi="Times New Roman" w:eastAsia="仿宋_GB2312"/>
          <w:color w:val="000000"/>
          <w:kern w:val="0"/>
          <w:sz w:val="32"/>
          <w:szCs w:val="32"/>
        </w:rPr>
      </w:pPr>
    </w:p>
    <w:p w14:paraId="62258C56">
      <w:pPr>
        <w:pStyle w:val="7"/>
        <w:keepNext w:val="0"/>
        <w:keepLines w:val="0"/>
        <w:pageBreakBefore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 w:cs="Times New Roman"/>
          <w:color w:val="000000"/>
          <w:kern w:val="0"/>
          <w:sz w:val="32"/>
          <w:szCs w:val="32"/>
          <w:lang w:val="en-US" w:eastAsia="zh-CN"/>
        </w:rPr>
      </w:pPr>
    </w:p>
    <w:p w14:paraId="10CE7A9E">
      <w:pPr>
        <w:keepNext w:val="0"/>
        <w:keepLines w:val="0"/>
        <w:pageBreakBefore w:val="0"/>
        <w:widowControl/>
        <w:kinsoku/>
        <w:wordWrap/>
        <w:overflowPunct/>
        <w:topLinePunct w:val="0"/>
        <w:autoSpaceDE/>
        <w:autoSpaceDN/>
        <w:bidi w:val="0"/>
        <w:adjustRightInd w:val="0"/>
        <w:snapToGrid w:val="0"/>
        <w:spacing w:line="540" w:lineRule="exact"/>
        <w:ind w:firstLine="0" w:firstLineChars="0"/>
        <w:textAlignment w:val="auto"/>
      </w:pPr>
    </w:p>
    <w:sectPr>
      <w:footerReference r:id="rId5" w:type="default"/>
      <w:pgSz w:w="11906" w:h="16838"/>
      <w:pgMar w:top="1984" w:right="1474" w:bottom="1871" w:left="1588"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B437B">
    <w:pPr>
      <w:pStyle w:val="2"/>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2A586">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42A586">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F7681"/>
    <w:rsid w:val="0365214C"/>
    <w:rsid w:val="0D7F5A25"/>
    <w:rsid w:val="0F57082F"/>
    <w:rsid w:val="16E85F7B"/>
    <w:rsid w:val="1F5D54F2"/>
    <w:rsid w:val="2849353B"/>
    <w:rsid w:val="2A1B0E63"/>
    <w:rsid w:val="2A566D03"/>
    <w:rsid w:val="312652F9"/>
    <w:rsid w:val="329A50BF"/>
    <w:rsid w:val="3CAD1174"/>
    <w:rsid w:val="3CB54586"/>
    <w:rsid w:val="40D47E88"/>
    <w:rsid w:val="41820816"/>
    <w:rsid w:val="42CA4B4A"/>
    <w:rsid w:val="44D727D9"/>
    <w:rsid w:val="530250B6"/>
    <w:rsid w:val="538F44B7"/>
    <w:rsid w:val="55243A24"/>
    <w:rsid w:val="59E20201"/>
    <w:rsid w:val="66CB2EAB"/>
    <w:rsid w:val="68F75ACC"/>
    <w:rsid w:val="6B054AC4"/>
    <w:rsid w:val="6E35472B"/>
    <w:rsid w:val="777274CF"/>
    <w:rsid w:val="79761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等线" w:hAnsi="等线" w:eastAsia="等线" w:cs="宋体"/>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customStyle="1" w:styleId="7">
    <w:name w:val="列表段落1"/>
    <w:basedOn w:val="1"/>
    <w:qFormat/>
    <w:uiPriority w:val="0"/>
    <w:pPr>
      <w:spacing w:line="240" w:lineRule="auto"/>
      <w:ind w:firstLine="42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1627</Words>
  <Characters>1640</Characters>
  <Lines>0</Lines>
  <Paragraphs>0</Paragraphs>
  <TotalTime>6</TotalTime>
  <ScaleCrop>false</ScaleCrop>
  <LinksUpToDate>false</LinksUpToDate>
  <CharactersWithSpaces>1647</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2026-05-11T08:06:00Z</dcterms:created>
  <dc:creator>Administrator</dc:creator>
  <cp:lastModifiedBy>漆燕</cp:lastModifiedBy>
  <dcterms:modified xsi:type="dcterms:W3CDTF">2026-07-22T02:33:44Z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DEB78CE97EBA423BB726808C1E8EA168</vt:lpwstr>
  </property>
  <property fmtid="{D5CDD505-2E9C-101B-9397-08002B2CF9AE}" pid="4" name="KSOTemplateDocerSaveRecord">
    <vt:lpwstr>eyJoZGlkIjoiMmUzMDI3NDlkNzI3ZTI3YTQ0YmExMDBiOTJjNjg5MTQiLCJ1c2VySWQiOiIxNzg5OTQ4MzM2In0=</vt:lpwstr>
  </property>
</Properties>
</file>