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10D6E">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B48DF36">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eastAsia" w:ascii="Times New Roman" w:hAnsi="Times New Roman" w:eastAsia="方正小标宋简体" w:cs="Times New Roman"/>
          <w:sz w:val="44"/>
          <w:szCs w:val="48"/>
        </w:rPr>
      </w:pPr>
    </w:p>
    <w:p w14:paraId="0CFB53CE">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ascii="Times New Roman" w:hAnsi="Times New Roman" w:eastAsia="方正小标宋简体" w:cs="Times New Roman"/>
          <w:sz w:val="44"/>
          <w:szCs w:val="48"/>
        </w:rPr>
      </w:pPr>
      <w:r>
        <w:rPr>
          <w:rFonts w:hint="eastAsia" w:ascii="Times New Roman" w:hAnsi="Times New Roman" w:eastAsia="方正小标宋简体" w:cs="Times New Roman"/>
          <w:sz w:val="44"/>
          <w:szCs w:val="48"/>
        </w:rPr>
        <w:t>《药品安全性主动监测</w:t>
      </w:r>
      <w:r>
        <w:rPr>
          <w:rFonts w:hint="eastAsia" w:ascii="Times New Roman" w:hAnsi="Times New Roman" w:eastAsia="方正小标宋简体" w:cs="Times New Roman"/>
          <w:sz w:val="44"/>
          <w:szCs w:val="48"/>
          <w:lang w:val="en-US" w:eastAsia="zh-CN"/>
        </w:rPr>
        <w:t>研究</w:t>
      </w:r>
      <w:r>
        <w:rPr>
          <w:rFonts w:hint="eastAsia" w:ascii="Times New Roman" w:hAnsi="Times New Roman" w:eastAsia="方正小标宋简体" w:cs="Times New Roman"/>
          <w:sz w:val="44"/>
          <w:szCs w:val="48"/>
        </w:rPr>
        <w:t>报告</w:t>
      </w:r>
      <w:r>
        <w:rPr>
          <w:rFonts w:hint="eastAsia" w:ascii="Times New Roman" w:hAnsi="Times New Roman" w:eastAsia="方正小标宋简体" w:cs="Times New Roman"/>
          <w:sz w:val="44"/>
          <w:szCs w:val="48"/>
          <w:lang w:val="en-US" w:eastAsia="zh-CN"/>
        </w:rPr>
        <w:t>撰写</w:t>
      </w:r>
      <w:r>
        <w:rPr>
          <w:rFonts w:hint="eastAsia" w:ascii="Times New Roman" w:hAnsi="Times New Roman" w:eastAsia="方正小标宋简体" w:cs="Times New Roman"/>
          <w:sz w:val="44"/>
          <w:szCs w:val="48"/>
        </w:rPr>
        <w:t>规范指导原则（征求意见稿）》起草说明</w:t>
      </w:r>
    </w:p>
    <w:p w14:paraId="55180896">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ascii="Times New Roman" w:hAnsi="Times New Roman" w:eastAsia="方正小标宋简体" w:cs="Times New Roman"/>
          <w:sz w:val="44"/>
          <w:szCs w:val="44"/>
        </w:rPr>
      </w:pPr>
    </w:p>
    <w:p w14:paraId="762FF1EA">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起草</w:t>
      </w:r>
      <w:r>
        <w:rPr>
          <w:rFonts w:ascii="黑体" w:hAnsi="黑体" w:eastAsia="黑体"/>
          <w:sz w:val="32"/>
          <w:szCs w:val="32"/>
        </w:rPr>
        <w:t>背景</w:t>
      </w:r>
    </w:p>
    <w:p w14:paraId="5D5FB085">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药品安全性主动监测（以下简称</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主动监测</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）是指</w:t>
      </w:r>
      <w:r>
        <w:rPr>
          <w:rFonts w:hint="eastAsia" w:ascii="Times New Roman" w:hAnsi="Times New Roman" w:eastAsia="仿宋" w:cs="Times New Roman"/>
          <w:color w:val="000000"/>
          <w:kern w:val="0"/>
          <w:sz w:val="32"/>
          <w:szCs w:val="32"/>
          <w:lang w:val="en-US" w:eastAsia="zh-CN"/>
        </w:rPr>
        <w:t>以</w:t>
      </w:r>
      <w:r>
        <w:rPr>
          <w:rFonts w:hint="default" w:ascii="Times New Roman" w:hAnsi="Times New Roman" w:eastAsia="仿宋" w:cs="Times New Roman"/>
          <w:color w:val="000000"/>
          <w:kern w:val="0"/>
          <w:sz w:val="32"/>
          <w:szCs w:val="32"/>
        </w:rPr>
        <w:t>持续</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有组织的方式，主动收集一个或多个来源的数据，</w:t>
      </w:r>
      <w:r>
        <w:rPr>
          <w:rFonts w:hint="eastAsia" w:ascii="Times New Roman" w:hAnsi="Times New Roman" w:eastAsia="仿宋" w:cs="Times New Roman"/>
          <w:color w:val="000000"/>
          <w:kern w:val="0"/>
          <w:sz w:val="32"/>
          <w:szCs w:val="32"/>
          <w:lang w:val="en-US" w:eastAsia="zh-CN"/>
        </w:rPr>
        <w:t>并运用这些</w:t>
      </w:r>
      <w:r>
        <w:rPr>
          <w:rFonts w:hint="default" w:ascii="Times New Roman" w:hAnsi="Times New Roman" w:eastAsia="仿宋" w:cs="Times New Roman"/>
          <w:color w:val="000000"/>
          <w:kern w:val="0"/>
          <w:sz w:val="32"/>
          <w:szCs w:val="32"/>
        </w:rPr>
        <w:t>数据</w:t>
      </w:r>
      <w:r>
        <w:rPr>
          <w:rFonts w:hint="eastAsia" w:ascii="Times New Roman" w:hAnsi="Times New Roman" w:eastAsia="仿宋" w:cs="Times New Roman"/>
          <w:color w:val="000000"/>
          <w:kern w:val="0"/>
          <w:sz w:val="32"/>
          <w:szCs w:val="32"/>
          <w:lang w:val="en-US" w:eastAsia="zh-CN"/>
        </w:rPr>
        <w:t>对药品</w:t>
      </w:r>
      <w:r>
        <w:rPr>
          <w:rFonts w:hint="default" w:ascii="Times New Roman" w:hAnsi="Times New Roman" w:eastAsia="仿宋" w:cs="Times New Roman"/>
          <w:color w:val="000000"/>
          <w:kern w:val="0"/>
          <w:sz w:val="32"/>
          <w:szCs w:val="32"/>
        </w:rPr>
        <w:t>安全性</w:t>
      </w:r>
      <w:r>
        <w:rPr>
          <w:rFonts w:hint="eastAsia" w:ascii="Times New Roman" w:hAnsi="Times New Roman" w:eastAsia="仿宋" w:cs="Times New Roman"/>
          <w:color w:val="000000"/>
          <w:kern w:val="0"/>
          <w:sz w:val="32"/>
          <w:szCs w:val="32"/>
          <w:lang w:val="en-US" w:eastAsia="zh-CN"/>
        </w:rPr>
        <w:t>进行评价</w:t>
      </w:r>
      <w:r>
        <w:rPr>
          <w:rFonts w:hint="default" w:ascii="Times New Roman" w:hAnsi="Times New Roman" w:eastAsia="仿宋" w:cs="Times New Roman"/>
          <w:color w:val="000000"/>
          <w:kern w:val="0"/>
          <w:sz w:val="32"/>
          <w:szCs w:val="32"/>
        </w:rPr>
        <w:t>的过程。主动监测</w:t>
      </w:r>
      <w:r>
        <w:rPr>
          <w:rFonts w:hint="eastAsia" w:ascii="Times New Roman" w:hAnsi="Times New Roman" w:eastAsia="仿宋" w:cs="Times New Roman"/>
          <w:color w:val="000000"/>
          <w:kern w:val="0"/>
          <w:sz w:val="32"/>
          <w:szCs w:val="32"/>
          <w:lang w:val="en-US" w:eastAsia="zh-CN"/>
        </w:rPr>
        <w:t>能够获取</w:t>
      </w:r>
      <w:r>
        <w:rPr>
          <w:rFonts w:hint="default" w:ascii="Times New Roman" w:hAnsi="Times New Roman" w:eastAsia="仿宋" w:cs="Times New Roman"/>
          <w:color w:val="000000"/>
          <w:kern w:val="0"/>
          <w:sz w:val="32"/>
          <w:szCs w:val="32"/>
        </w:rPr>
        <w:t>更为全面、详尽的不良事件数据，</w:t>
      </w:r>
      <w:r>
        <w:rPr>
          <w:rFonts w:hint="eastAsia" w:ascii="Times New Roman" w:hAnsi="Times New Roman" w:eastAsia="仿宋" w:cs="Times New Roman"/>
          <w:color w:val="000000"/>
          <w:kern w:val="0"/>
          <w:sz w:val="32"/>
          <w:szCs w:val="32"/>
          <w:lang w:val="en-US" w:eastAsia="zh-CN"/>
        </w:rPr>
        <w:t>与</w:t>
      </w:r>
      <w:r>
        <w:rPr>
          <w:rFonts w:hint="default" w:ascii="Times New Roman" w:hAnsi="Times New Roman" w:eastAsia="仿宋" w:cs="Times New Roman"/>
          <w:color w:val="000000"/>
          <w:kern w:val="0"/>
          <w:sz w:val="32"/>
          <w:szCs w:val="32"/>
        </w:rPr>
        <w:t>传统自发报告</w:t>
      </w:r>
      <w:r>
        <w:rPr>
          <w:rFonts w:hint="eastAsia" w:ascii="Times New Roman" w:hAnsi="Times New Roman" w:eastAsia="仿宋" w:cs="Times New Roman"/>
          <w:color w:val="000000"/>
          <w:kern w:val="0"/>
          <w:sz w:val="32"/>
          <w:szCs w:val="32"/>
          <w:lang w:val="en-US" w:eastAsia="zh-CN"/>
        </w:rPr>
        <w:t>互为</w:t>
      </w:r>
      <w:r>
        <w:rPr>
          <w:rFonts w:hint="default" w:ascii="Times New Roman" w:hAnsi="Times New Roman" w:eastAsia="仿宋" w:cs="Times New Roman"/>
          <w:color w:val="000000"/>
          <w:kern w:val="0"/>
          <w:sz w:val="32"/>
          <w:szCs w:val="32"/>
        </w:rPr>
        <w:t>补充。</w:t>
      </w:r>
    </w:p>
    <w:p w14:paraId="5EA6F483">
      <w:pPr>
        <w:widowControl/>
        <w:adjustRightInd w:val="0"/>
        <w:snapToGrid w:val="0"/>
        <w:spacing w:beforeLines="-2147483648" w:after="0" w:line="540" w:lineRule="exact"/>
        <w:ind w:firstLine="640" w:firstLineChars="200"/>
        <w:jc w:val="both"/>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bCs/>
          <w:color w:val="000000"/>
          <w:kern w:val="0"/>
          <w:sz w:val="32"/>
          <w:szCs w:val="32"/>
        </w:rPr>
        <w:t>从数据到证据需要开展真实世界研究，</w:t>
      </w:r>
      <w:r>
        <w:rPr>
          <w:rFonts w:hint="eastAsia" w:ascii="Times New Roman" w:hAnsi="Times New Roman" w:eastAsia="仿宋" w:cs="Times New Roman"/>
          <w:bCs/>
          <w:color w:val="000000"/>
          <w:kern w:val="0"/>
          <w:sz w:val="32"/>
          <w:szCs w:val="32"/>
          <w:lang w:eastAsia="zh-CN"/>
        </w:rPr>
        <w:t>证据的规范化、标准化输出对</w:t>
      </w:r>
      <w:r>
        <w:rPr>
          <w:rFonts w:hint="default" w:ascii="仿宋" w:hAnsi="仿宋" w:eastAsia="仿宋" w:cs="仿宋"/>
          <w:kern w:val="2"/>
          <w:sz w:val="32"/>
          <w:szCs w:val="32"/>
          <w:lang w:val="en-US" w:eastAsia="zh-CN" w:bidi="ar"/>
          <w14:ligatures w14:val="standardContextual"/>
        </w:rPr>
        <w:t>药品上市后安全性风险的及时识别与研判</w:t>
      </w:r>
      <w:r>
        <w:rPr>
          <w:rFonts w:hint="eastAsia" w:ascii="Times New Roman" w:hAnsi="Times New Roman" w:eastAsia="仿宋" w:cs="Times New Roman"/>
          <w:sz w:val="32"/>
          <w:szCs w:val="32"/>
          <w:highlight w:val="none"/>
          <w:lang w:eastAsia="zh-CN"/>
        </w:rPr>
        <w:t>非常重要。目前我国基于真实世界数据的药品安全性主动监测研究报告撰写尚缺乏统一的技术规范与标准化框架，不同药品上市许可持有人（以下简称“持有人”）及研究机构出具的报告在框架结构、内容要素及信息披露深度等方面存在差异，</w:t>
      </w:r>
      <w:r>
        <w:rPr>
          <w:rFonts w:hint="eastAsia" w:ascii="Times New Roman" w:hAnsi="Times New Roman" w:eastAsia="仿宋" w:cs="Times New Roman"/>
          <w:sz w:val="32"/>
          <w:szCs w:val="32"/>
          <w:highlight w:val="none"/>
          <w:lang w:val="en-US" w:eastAsia="zh-CN"/>
        </w:rPr>
        <w:t>其</w:t>
      </w:r>
      <w:r>
        <w:rPr>
          <w:rFonts w:hint="eastAsia" w:ascii="Times New Roman" w:hAnsi="Times New Roman" w:eastAsia="仿宋" w:cs="Times New Roman"/>
          <w:sz w:val="32"/>
          <w:szCs w:val="32"/>
          <w:highlight w:val="none"/>
          <w:lang w:eastAsia="zh-CN"/>
        </w:rPr>
        <w:t>科学性、规范性和透明度</w:t>
      </w:r>
      <w:r>
        <w:rPr>
          <w:rFonts w:hint="eastAsia" w:ascii="Times New Roman" w:hAnsi="Times New Roman" w:eastAsia="仿宋" w:cs="Times New Roman"/>
          <w:sz w:val="32"/>
          <w:szCs w:val="32"/>
          <w:highlight w:val="none"/>
          <w:lang w:val="en-US" w:eastAsia="zh-CN"/>
        </w:rPr>
        <w:t>需要改善</w:t>
      </w:r>
      <w:r>
        <w:rPr>
          <w:rFonts w:hint="eastAsia" w:ascii="Times New Roman" w:hAnsi="Times New Roman" w:eastAsia="仿宋" w:cs="Times New Roman"/>
          <w:sz w:val="32"/>
          <w:szCs w:val="32"/>
          <w:highlight w:val="none"/>
          <w:lang w:eastAsia="zh-CN"/>
        </w:rPr>
        <w:t>。</w:t>
      </w:r>
    </w:p>
    <w:p w14:paraId="1BDCDA0D">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sz w:val="32"/>
          <w:szCs w:val="32"/>
          <w:highlight w:val="none"/>
          <w:lang w:eastAsia="zh-CN"/>
          <w14:ligatures w14:val="none"/>
        </w:rPr>
      </w:pPr>
      <w:r>
        <w:rPr>
          <w:rFonts w:hint="default" w:ascii="Times New Roman" w:hAnsi="Times New Roman" w:eastAsia="仿宋" w:cs="Times New Roman"/>
          <w:color w:val="000000"/>
          <w:kern w:val="0"/>
          <w:sz w:val="32"/>
          <w:szCs w:val="32"/>
        </w:rPr>
        <w:t>2025年发布的《真实世界数据支持药品安全性主动监测的一般原则》（以下简称《一般原则》），</w:t>
      </w:r>
      <w:r>
        <w:rPr>
          <w:rFonts w:hint="default" w:ascii="Times New Roman" w:hAnsi="Times New Roman" w:eastAsia="仿宋" w:cs="Times New Roman"/>
          <w:sz w:val="32"/>
          <w:szCs w:val="32"/>
          <w:highlight w:val="none"/>
        </w:rPr>
        <w:t>对利用真实世界数据开展主动监测的数据来源及类型、适用范围、一般流程以及实施技术</w:t>
      </w:r>
      <w:r>
        <w:rPr>
          <w:rFonts w:hint="eastAsia" w:ascii="Times New Roman" w:hAnsi="Times New Roman" w:eastAsia="仿宋" w:cs="Times New Roman"/>
          <w:sz w:val="32"/>
          <w:szCs w:val="32"/>
          <w:highlight w:val="none"/>
          <w:lang w:val="en-US" w:eastAsia="zh-CN"/>
        </w:rPr>
        <w:t>等方面</w:t>
      </w:r>
      <w:r>
        <w:rPr>
          <w:rFonts w:hint="default" w:ascii="Times New Roman" w:hAnsi="Times New Roman" w:eastAsia="仿宋" w:cs="Times New Roman"/>
          <w:sz w:val="32"/>
          <w:szCs w:val="32"/>
          <w:highlight w:val="none"/>
        </w:rPr>
        <w:t>提出了总体要求。</w:t>
      </w:r>
      <w:r>
        <w:rPr>
          <w:rFonts w:hint="default" w:ascii="Times New Roman" w:hAnsi="Times New Roman" w:eastAsia="仿宋" w:cs="Times New Roman"/>
          <w:sz w:val="32"/>
          <w:szCs w:val="32"/>
        </w:rPr>
        <w:t>作为《一般原则》的延伸以及对</w:t>
      </w:r>
      <w:r>
        <w:rPr>
          <w:rFonts w:hint="eastAsia" w:ascii="Times New Roman" w:hAnsi="Times New Roman" w:eastAsia="仿宋" w:cs="Times New Roman"/>
          <w:sz w:val="32"/>
          <w:szCs w:val="32"/>
          <w:lang w:eastAsia="zh-CN"/>
        </w:rPr>
        <w:t>主动监测证据</w:t>
      </w:r>
      <w:r>
        <w:rPr>
          <w:rFonts w:hint="eastAsia" w:ascii="Times New Roman" w:hAnsi="Times New Roman" w:eastAsia="仿宋" w:cs="Times New Roman"/>
          <w:sz w:val="32"/>
          <w:szCs w:val="32"/>
          <w:lang w:val="en-US" w:eastAsia="zh-CN"/>
        </w:rPr>
        <w:t>体系的完善</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highlight w:val="none"/>
          <w:lang w:eastAsia="zh-CN"/>
        </w:rPr>
        <w:t>本指导原则</w:t>
      </w:r>
      <w:r>
        <w:rPr>
          <w:rFonts w:hint="eastAsia" w:ascii="Times New Roman" w:hAnsi="Times New Roman" w:eastAsia="仿宋" w:cs="Times New Roman"/>
          <w:sz w:val="32"/>
          <w:szCs w:val="32"/>
          <w:highlight w:val="none"/>
          <w:lang w:val="en-US" w:eastAsia="zh-CN"/>
        </w:rPr>
        <w:t>聚焦于</w:t>
      </w:r>
      <w:r>
        <w:rPr>
          <w:rFonts w:hint="eastAsia" w:ascii="Times New Roman" w:hAnsi="Times New Roman" w:eastAsia="仿宋" w:cs="Times New Roman"/>
          <w:sz w:val="32"/>
          <w:szCs w:val="32"/>
          <w:highlight w:val="none"/>
          <w:lang w:eastAsia="zh-CN"/>
        </w:rPr>
        <w:t>研究报告的</w:t>
      </w:r>
      <w:r>
        <w:rPr>
          <w:rFonts w:hint="eastAsia" w:ascii="Times New Roman" w:hAnsi="Times New Roman" w:eastAsia="仿宋" w:cs="Times New Roman"/>
          <w:sz w:val="32"/>
          <w:szCs w:val="32"/>
          <w:highlight w:val="none"/>
          <w:lang w:val="en-US" w:eastAsia="zh-CN"/>
        </w:rPr>
        <w:t>规范化</w:t>
      </w:r>
      <w:r>
        <w:rPr>
          <w:rFonts w:hint="eastAsia" w:ascii="Times New Roman" w:hAnsi="Times New Roman" w:eastAsia="仿宋" w:cs="Times New Roman"/>
          <w:sz w:val="32"/>
          <w:szCs w:val="32"/>
          <w:highlight w:val="none"/>
          <w:lang w:eastAsia="zh-CN"/>
        </w:rPr>
        <w:t>撰写，</w:t>
      </w:r>
      <w:r>
        <w:rPr>
          <w:rFonts w:hint="eastAsia" w:ascii="Times New Roman" w:hAnsi="Times New Roman" w:eastAsia="仿宋" w:cs="Times New Roman"/>
          <w:sz w:val="32"/>
          <w:szCs w:val="32"/>
          <w:highlight w:val="none"/>
          <w:lang w:val="en-US" w:eastAsia="zh-CN"/>
        </w:rPr>
        <w:t>旨在</w:t>
      </w:r>
      <w:r>
        <w:rPr>
          <w:rFonts w:hint="eastAsia" w:ascii="Times New Roman" w:hAnsi="Times New Roman" w:eastAsia="仿宋" w:cs="Times New Roman"/>
          <w:sz w:val="32"/>
          <w:szCs w:val="32"/>
          <w:highlight w:val="none"/>
          <w:lang w:eastAsia="zh-CN"/>
        </w:rPr>
        <w:t>提升报告的科学性、规范性和透明度，</w:t>
      </w:r>
      <w:r>
        <w:rPr>
          <w:rFonts w:hint="default" w:ascii="Times New Roman" w:hAnsi="Times New Roman" w:eastAsia="仿宋" w:cs="Times New Roman"/>
          <w:color w:val="000000"/>
          <w:kern w:val="0"/>
          <w:sz w:val="32"/>
          <w:szCs w:val="32"/>
        </w:rPr>
        <w:t>旨在为持有人、研究机构等相关方提供参考</w:t>
      </w:r>
      <w:r>
        <w:rPr>
          <w:rFonts w:hint="eastAsia" w:ascii="Times New Roman" w:hAnsi="Times New Roman" w:eastAsia="仿宋" w:cs="Times New Roman"/>
          <w:sz w:val="32"/>
          <w:szCs w:val="32"/>
          <w:highlight w:val="none"/>
          <w:lang w:eastAsia="zh-CN"/>
        </w:rPr>
        <w:t>。</w:t>
      </w:r>
    </w:p>
    <w:p w14:paraId="4679A436">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起草过程</w:t>
      </w:r>
    </w:p>
    <w:p w14:paraId="3111F193">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楷体" w:hAnsi="楷体" w:eastAsia="楷体" w:cs="楷体"/>
          <w:color w:val="000000"/>
          <w:kern w:val="0"/>
          <w:sz w:val="32"/>
          <w:szCs w:val="32"/>
          <w:lang w:val="en-US"/>
        </w:rPr>
      </w:pPr>
      <w:r>
        <w:rPr>
          <w:rFonts w:hint="eastAsia" w:ascii="楷体" w:hAnsi="楷体" w:eastAsia="楷体" w:cs="楷体"/>
          <w:color w:val="000000"/>
          <w:kern w:val="0"/>
          <w:sz w:val="32"/>
          <w:szCs w:val="32"/>
        </w:rPr>
        <w:t>（一）研究</w:t>
      </w:r>
      <w:r>
        <w:rPr>
          <w:rFonts w:hint="eastAsia" w:ascii="楷体" w:hAnsi="楷体" w:eastAsia="楷体" w:cs="楷体"/>
          <w:color w:val="000000"/>
          <w:kern w:val="0"/>
          <w:sz w:val="32"/>
          <w:szCs w:val="32"/>
          <w:lang w:val="en-US" w:eastAsia="zh-CN"/>
        </w:rPr>
        <w:t>起草情况</w:t>
      </w:r>
    </w:p>
    <w:p w14:paraId="0B1AAC13">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在前期监管科学课题研究及</w:t>
      </w:r>
      <w:r>
        <w:rPr>
          <w:rFonts w:hint="eastAsia" w:ascii="Times New Roman" w:hAnsi="Times New Roman" w:eastAsia="仿宋" w:cs="Times New Roman"/>
          <w:color w:val="000000"/>
          <w:kern w:val="0"/>
          <w:sz w:val="32"/>
          <w:szCs w:val="32"/>
        </w:rPr>
        <w:t>2025年发布的</w:t>
      </w:r>
      <w:r>
        <w:rPr>
          <w:rFonts w:hint="default" w:ascii="Times New Roman" w:hAnsi="Times New Roman" w:eastAsia="仿宋" w:cs="Times New Roman"/>
          <w:color w:val="000000"/>
          <w:kern w:val="0"/>
          <w:sz w:val="32"/>
          <w:szCs w:val="32"/>
        </w:rPr>
        <w:t>《一般原则》</w:t>
      </w:r>
      <w:r>
        <w:rPr>
          <w:rFonts w:hint="eastAsia" w:ascii="Times New Roman" w:hAnsi="Times New Roman" w:eastAsia="仿宋" w:cs="Times New Roman"/>
          <w:color w:val="000000"/>
          <w:kern w:val="0"/>
          <w:sz w:val="32"/>
          <w:szCs w:val="32"/>
          <w:lang w:val="en-US" w:eastAsia="zh-CN"/>
        </w:rPr>
        <w:t>基础上，</w:t>
      </w:r>
      <w:r>
        <w:rPr>
          <w:rFonts w:hint="eastAsia" w:ascii="Times New Roman" w:hAnsi="Times New Roman" w:eastAsia="仿宋" w:cs="Times New Roman"/>
          <w:color w:val="000000"/>
          <w:kern w:val="0"/>
          <w:sz w:val="32"/>
          <w:szCs w:val="32"/>
          <w:highlight w:val="none"/>
        </w:rPr>
        <w:t>评价中心</w:t>
      </w:r>
      <w:r>
        <w:rPr>
          <w:rFonts w:hint="eastAsia" w:ascii="Times New Roman" w:hAnsi="Times New Roman" w:eastAsia="仿宋" w:cs="Times New Roman"/>
          <w:color w:val="000000"/>
          <w:kern w:val="0"/>
          <w:sz w:val="32"/>
          <w:szCs w:val="32"/>
          <w:highlight w:val="none"/>
          <w:lang w:val="en-US" w:eastAsia="zh-CN"/>
        </w:rPr>
        <w:t>与北京大学医学部公共卫生学院共同开展《药品安全性主动监测研</w:t>
      </w:r>
      <w:r>
        <w:rPr>
          <w:rFonts w:hint="eastAsia" w:ascii="Times New Roman" w:hAnsi="Times New Roman" w:eastAsia="仿宋" w:cs="Times New Roman"/>
          <w:color w:val="000000"/>
          <w:kern w:val="0"/>
          <w:sz w:val="32"/>
          <w:szCs w:val="32"/>
          <w:lang w:val="en-US" w:eastAsia="zh-CN"/>
        </w:rPr>
        <w:t>究报告撰写规范》研究，课题组</w:t>
      </w:r>
      <w:r>
        <w:rPr>
          <w:rFonts w:hint="eastAsia" w:ascii="Times New Roman" w:hAnsi="Times New Roman" w:eastAsia="仿宋" w:cs="Times New Roman"/>
          <w:color w:val="000000"/>
          <w:kern w:val="0"/>
          <w:sz w:val="32"/>
          <w:szCs w:val="32"/>
        </w:rPr>
        <w:t>在系统梳理前期研究成果、实践案例及国内外相关</w:t>
      </w:r>
      <w:r>
        <w:rPr>
          <w:rFonts w:hint="eastAsia" w:ascii="Times New Roman" w:hAnsi="Times New Roman" w:eastAsia="仿宋" w:cs="Times New Roman"/>
          <w:color w:val="000000"/>
          <w:kern w:val="0"/>
          <w:sz w:val="32"/>
          <w:szCs w:val="32"/>
          <w:lang w:val="en-US" w:eastAsia="zh-CN"/>
        </w:rPr>
        <w:t>法规</w:t>
      </w:r>
      <w:r>
        <w:rPr>
          <w:rFonts w:hint="eastAsia" w:ascii="Times New Roman" w:hAnsi="Times New Roman" w:eastAsia="仿宋" w:cs="Times New Roman"/>
          <w:color w:val="000000"/>
          <w:kern w:val="0"/>
          <w:sz w:val="32"/>
          <w:szCs w:val="32"/>
        </w:rPr>
        <w:t>政策文件的基础上，形成</w:t>
      </w:r>
      <w:r>
        <w:rPr>
          <w:rFonts w:hint="eastAsia" w:ascii="Times New Roman" w:hAnsi="Times New Roman" w:eastAsia="仿宋" w:cs="Times New Roman"/>
          <w:color w:val="000000"/>
          <w:kern w:val="0"/>
          <w:sz w:val="32"/>
          <w:szCs w:val="32"/>
          <w:lang w:val="en-US" w:eastAsia="zh-CN"/>
        </w:rPr>
        <w:t>本</w:t>
      </w:r>
      <w:r>
        <w:rPr>
          <w:rFonts w:hint="eastAsia" w:ascii="Times New Roman" w:hAnsi="Times New Roman" w:eastAsia="仿宋" w:cs="Times New Roman"/>
          <w:color w:val="000000"/>
          <w:kern w:val="0"/>
          <w:sz w:val="32"/>
          <w:szCs w:val="32"/>
        </w:rPr>
        <w:t>指导原则</w:t>
      </w:r>
      <w:r>
        <w:rPr>
          <w:rFonts w:hint="eastAsia" w:ascii="Times New Roman" w:hAnsi="Times New Roman" w:eastAsia="仿宋" w:cs="Times New Roman"/>
          <w:color w:val="000000"/>
          <w:kern w:val="0"/>
          <w:sz w:val="32"/>
          <w:szCs w:val="32"/>
          <w:lang w:val="en-US" w:eastAsia="zh-CN"/>
        </w:rPr>
        <w:t>的</w:t>
      </w:r>
      <w:r>
        <w:rPr>
          <w:rFonts w:hint="eastAsia" w:ascii="Times New Roman" w:hAnsi="Times New Roman" w:eastAsia="仿宋" w:cs="Times New Roman"/>
          <w:color w:val="000000"/>
          <w:kern w:val="0"/>
          <w:sz w:val="32"/>
          <w:szCs w:val="32"/>
        </w:rPr>
        <w:t>初稿。</w:t>
      </w:r>
    </w:p>
    <w:p w14:paraId="15E60AE4">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w:t>
      </w:r>
      <w:r>
        <w:rPr>
          <w:rFonts w:hint="eastAsia" w:ascii="楷体" w:hAnsi="楷体" w:eastAsia="楷体" w:cs="楷体"/>
          <w:color w:val="000000"/>
          <w:kern w:val="0"/>
          <w:sz w:val="32"/>
          <w:szCs w:val="32"/>
          <w:lang w:val="en-US" w:eastAsia="zh-CN"/>
        </w:rPr>
        <w:t>专家</w:t>
      </w:r>
      <w:r>
        <w:rPr>
          <w:rFonts w:hint="eastAsia" w:ascii="楷体" w:hAnsi="楷体" w:eastAsia="楷体" w:cs="楷体"/>
          <w:color w:val="000000"/>
          <w:kern w:val="0"/>
          <w:sz w:val="32"/>
          <w:szCs w:val="32"/>
        </w:rPr>
        <w:t>论证情况</w:t>
      </w:r>
    </w:p>
    <w:p w14:paraId="588AC9C4">
      <w:pPr>
        <w:pStyle w:val="7"/>
        <w:adjustRightInd w:val="0"/>
        <w:snapToGrid w:val="0"/>
        <w:spacing w:line="540" w:lineRule="exact"/>
        <w:ind w:firstLine="640"/>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2025年11月、</w:t>
      </w:r>
      <w:r>
        <w:rPr>
          <w:rFonts w:hint="eastAsia"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lang w:val="en-US" w:eastAsia="zh-CN"/>
        </w:rPr>
        <w:t>6</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5</w:t>
      </w:r>
      <w:r>
        <w:rPr>
          <w:rFonts w:hint="eastAsia" w:ascii="Times New Roman" w:hAnsi="Times New Roman" w:eastAsia="仿宋" w:cs="Times New Roman"/>
          <w:color w:val="000000"/>
          <w:kern w:val="0"/>
          <w:sz w:val="32"/>
          <w:szCs w:val="32"/>
        </w:rPr>
        <w:t>月</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评价中心两次</w:t>
      </w:r>
      <w:r>
        <w:rPr>
          <w:rFonts w:hint="eastAsia" w:ascii="Times New Roman" w:hAnsi="Times New Roman" w:eastAsia="仿宋" w:cs="Times New Roman"/>
          <w:color w:val="000000"/>
          <w:kern w:val="0"/>
          <w:sz w:val="32"/>
          <w:szCs w:val="32"/>
        </w:rPr>
        <w:t>组织</w:t>
      </w:r>
      <w:r>
        <w:rPr>
          <w:rFonts w:hint="eastAsia" w:ascii="Times New Roman" w:hAnsi="Times New Roman" w:eastAsia="仿宋" w:cs="Times New Roman"/>
          <w:color w:val="000000"/>
          <w:kern w:val="0"/>
          <w:sz w:val="32"/>
          <w:szCs w:val="32"/>
          <w:lang w:val="en-US" w:eastAsia="zh-CN"/>
        </w:rPr>
        <w:t>召开</w:t>
      </w:r>
      <w:r>
        <w:rPr>
          <w:rFonts w:hint="eastAsia" w:ascii="Times New Roman" w:hAnsi="Times New Roman" w:eastAsia="仿宋" w:cs="Times New Roman"/>
          <w:color w:val="000000"/>
          <w:kern w:val="0"/>
          <w:sz w:val="32"/>
          <w:szCs w:val="32"/>
        </w:rPr>
        <w:t>真实世界数据相关主动监测指导原则专家讨论会</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会议邀请</w:t>
      </w:r>
      <w:r>
        <w:rPr>
          <w:rFonts w:hint="eastAsia" w:ascii="Times New Roman" w:hAnsi="Times New Roman" w:eastAsia="仿宋" w:cs="Times New Roman"/>
          <w:color w:val="000000"/>
          <w:kern w:val="0"/>
          <w:sz w:val="32"/>
          <w:szCs w:val="32"/>
          <w:lang w:val="en-US" w:eastAsia="zh-CN"/>
        </w:rPr>
        <w:t>来自</w:t>
      </w:r>
      <w:r>
        <w:rPr>
          <w:rFonts w:hint="eastAsia" w:ascii="Times New Roman" w:hAnsi="Times New Roman" w:eastAsia="仿宋" w:cs="Times New Roman"/>
          <w:color w:val="000000"/>
          <w:kern w:val="0"/>
          <w:sz w:val="32"/>
          <w:szCs w:val="32"/>
        </w:rPr>
        <w:t>医疗机构、高等院校、监测机构及</w:t>
      </w:r>
      <w:r>
        <w:rPr>
          <w:rFonts w:hint="eastAsia" w:ascii="Times New Roman" w:hAnsi="Times New Roman" w:eastAsia="仿宋" w:cs="Times New Roman"/>
          <w:color w:val="000000"/>
          <w:kern w:val="0"/>
          <w:sz w:val="32"/>
          <w:szCs w:val="32"/>
          <w:lang w:val="en-US" w:eastAsia="zh-CN"/>
        </w:rPr>
        <w:t>企业界等领域的专家，</w:t>
      </w:r>
      <w:r>
        <w:rPr>
          <w:rFonts w:hint="eastAsia" w:ascii="Times New Roman" w:hAnsi="Times New Roman" w:eastAsia="仿宋" w:cs="Times New Roman"/>
          <w:color w:val="000000"/>
          <w:kern w:val="0"/>
          <w:sz w:val="32"/>
          <w:szCs w:val="32"/>
        </w:rPr>
        <w:t>对指导原则初稿进行充分讨论</w:t>
      </w:r>
      <w:r>
        <w:rPr>
          <w:rFonts w:hint="eastAsia" w:ascii="Times New Roman" w:hAnsi="Times New Roman" w:eastAsia="仿宋" w:cs="Times New Roman"/>
          <w:color w:val="000000"/>
          <w:kern w:val="0"/>
          <w:sz w:val="32"/>
          <w:szCs w:val="32"/>
          <w:lang w:val="en-US" w:eastAsia="zh-CN"/>
        </w:rPr>
        <w:t>与</w:t>
      </w:r>
      <w:r>
        <w:rPr>
          <w:rFonts w:hint="eastAsia" w:ascii="Times New Roman" w:hAnsi="Times New Roman" w:eastAsia="仿宋" w:cs="Times New Roman"/>
          <w:color w:val="000000"/>
          <w:kern w:val="0"/>
          <w:sz w:val="32"/>
          <w:szCs w:val="32"/>
        </w:rPr>
        <w:t>论证</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结合专家意见进行</w:t>
      </w:r>
      <w:r>
        <w:rPr>
          <w:rFonts w:hint="eastAsia" w:ascii="Times New Roman" w:hAnsi="Times New Roman" w:eastAsia="仿宋" w:cs="Times New Roman"/>
          <w:color w:val="000000"/>
          <w:kern w:val="0"/>
          <w:sz w:val="32"/>
          <w:szCs w:val="32"/>
        </w:rPr>
        <w:t>修改</w:t>
      </w:r>
      <w:r>
        <w:rPr>
          <w:rFonts w:hint="eastAsia" w:ascii="Times New Roman" w:hAnsi="Times New Roman" w:eastAsia="仿宋" w:cs="Times New Roman"/>
          <w:color w:val="000000"/>
          <w:kern w:val="0"/>
          <w:sz w:val="32"/>
          <w:szCs w:val="32"/>
          <w:lang w:val="en-US" w:eastAsia="zh-CN"/>
        </w:rPr>
        <w:t>后，再次提交专家函审，</w:t>
      </w:r>
      <w:r>
        <w:rPr>
          <w:rFonts w:hint="eastAsia" w:ascii="Times New Roman" w:hAnsi="Times New Roman" w:eastAsia="仿宋" w:cs="Times New Roman"/>
          <w:color w:val="000000"/>
          <w:kern w:val="0"/>
          <w:sz w:val="32"/>
          <w:szCs w:val="32"/>
        </w:rPr>
        <w:t>并征求评价中心相关部门意见，形成本指导原则的征求意见稿</w:t>
      </w:r>
      <w:r>
        <w:rPr>
          <w:rFonts w:hint="eastAsia" w:ascii="Times New Roman" w:hAnsi="Times New Roman" w:eastAsia="仿宋" w:cs="Times New Roman"/>
          <w:color w:val="000000"/>
          <w:kern w:val="0"/>
          <w:sz w:val="32"/>
          <w:szCs w:val="32"/>
          <w:lang w:val="en-US" w:eastAsia="zh-CN"/>
        </w:rPr>
        <w:t>。</w:t>
      </w:r>
    </w:p>
    <w:p w14:paraId="581D18F0">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eastAsia="黑体"/>
          <w:sz w:val="32"/>
          <w:szCs w:val="32"/>
        </w:rPr>
      </w:pPr>
      <w:r>
        <w:rPr>
          <w:rFonts w:hint="eastAsia" w:eastAsia="黑体"/>
          <w:sz w:val="32"/>
          <w:szCs w:val="32"/>
        </w:rPr>
        <w:t>三</w:t>
      </w:r>
      <w:r>
        <w:rPr>
          <w:rFonts w:eastAsia="黑体"/>
          <w:sz w:val="32"/>
          <w:szCs w:val="32"/>
        </w:rPr>
        <w:t>、</w:t>
      </w:r>
      <w:r>
        <w:rPr>
          <w:rFonts w:hint="eastAsia" w:ascii="黑体" w:hAnsi="黑体" w:eastAsia="黑体"/>
          <w:sz w:val="32"/>
          <w:szCs w:val="32"/>
        </w:rPr>
        <w:t>起草</w:t>
      </w:r>
      <w:r>
        <w:rPr>
          <w:rFonts w:eastAsia="黑体"/>
          <w:sz w:val="32"/>
          <w:szCs w:val="32"/>
        </w:rPr>
        <w:t>思路</w:t>
      </w:r>
      <w:r>
        <w:rPr>
          <w:rFonts w:hint="eastAsia" w:eastAsia="黑体"/>
          <w:sz w:val="32"/>
          <w:szCs w:val="32"/>
        </w:rPr>
        <w:t xml:space="preserve"> </w:t>
      </w:r>
    </w:p>
    <w:p w14:paraId="12A290E0">
      <w:pPr>
        <w:adjustRightInd w:val="0"/>
        <w:snapToGrid w:val="0"/>
        <w:spacing w:beforeLines="0" w:after="0" w:line="540" w:lineRule="exact"/>
        <w:ind w:firstLine="600"/>
        <w:jc w:val="both"/>
        <w:rPr>
          <w:rFonts w:hint="eastAsia" w:ascii="Times New Roman" w:hAnsi="Times New Roman" w:eastAsia="仿宋" w:cs="Times New Roman"/>
          <w:sz w:val="32"/>
          <w:szCs w:val="32"/>
          <w:highlight w:val="none"/>
          <w:lang w:eastAsia="zh-CN"/>
          <w14:ligatures w14:val="none"/>
        </w:rPr>
      </w:pPr>
      <w:r>
        <w:rPr>
          <w:rFonts w:hint="eastAsia" w:ascii="Times New Roman" w:hAnsi="Times New Roman" w:eastAsia="仿宋" w:cs="Times New Roman"/>
          <w:color w:val="000000"/>
          <w:kern w:val="0"/>
          <w:sz w:val="32"/>
          <w:szCs w:val="32"/>
        </w:rPr>
        <w:t>本指导原则</w:t>
      </w:r>
      <w:r>
        <w:rPr>
          <w:rFonts w:hint="eastAsia" w:ascii="Times New Roman" w:hAnsi="Times New Roman" w:eastAsia="仿宋" w:cs="Times New Roman"/>
          <w:color w:val="000000"/>
          <w:kern w:val="0"/>
          <w:sz w:val="32"/>
          <w:szCs w:val="32"/>
          <w:lang w:val="en-US" w:eastAsia="zh-CN"/>
        </w:rPr>
        <w:t>坚持问题导向</w:t>
      </w:r>
      <w:r>
        <w:rPr>
          <w:rFonts w:hint="eastAsia" w:ascii="Times New Roman" w:hAnsi="Times New Roman" w:eastAsia="仿宋" w:cs="Times New Roman"/>
          <w:color w:val="000000"/>
          <w:kern w:val="0"/>
          <w:sz w:val="32"/>
          <w:szCs w:val="32"/>
        </w:rPr>
        <w:t>，</w:t>
      </w:r>
      <w:r>
        <w:rPr>
          <w:rFonts w:hint="eastAsia" w:ascii="Times New Roman" w:hAnsi="Times New Roman" w:eastAsia="仿宋" w:cs="Times New Roman"/>
          <w:sz w:val="32"/>
          <w:szCs w:val="32"/>
          <w:highlight w:val="none"/>
          <w:lang w:eastAsia="zh-CN"/>
        </w:rPr>
        <w:t>聚焦于研究报告的规范化撰写这一实际操作环节</w:t>
      </w:r>
      <w:r>
        <w:rPr>
          <w:rFonts w:hint="eastAsia" w:ascii="Times New Roman" w:hAnsi="Times New Roman" w:eastAsia="仿宋" w:cs="Times New Roman"/>
          <w:sz w:val="32"/>
          <w:szCs w:val="32"/>
          <w:highlight w:val="none"/>
          <w:lang w:eastAsia="zh-CN"/>
          <w14:ligatures w14:val="none"/>
        </w:rPr>
        <w:t>，旨在</w:t>
      </w:r>
      <w:r>
        <w:rPr>
          <w:rFonts w:hint="eastAsia" w:ascii="Times New Roman" w:hAnsi="Times New Roman" w:eastAsia="仿宋" w:cs="Times New Roman"/>
          <w:sz w:val="32"/>
          <w:szCs w:val="32"/>
          <w:highlight w:val="none"/>
          <w:lang w:val="en-US" w:eastAsia="zh-CN"/>
          <w14:ligatures w14:val="none"/>
        </w:rPr>
        <w:t>通过</w:t>
      </w:r>
      <w:r>
        <w:rPr>
          <w:rFonts w:hint="eastAsia" w:ascii="Times New Roman" w:hAnsi="Times New Roman" w:eastAsia="仿宋" w:cs="Times New Roman"/>
          <w:sz w:val="32"/>
          <w:szCs w:val="32"/>
          <w:highlight w:val="none"/>
          <w:lang w:eastAsia="zh-CN"/>
          <w14:ligatures w14:val="none"/>
        </w:rPr>
        <w:t>明确报告的逻辑框架、内容要素及附件要求，提升证据输出的标准化程度和不同研究间的可比性。</w:t>
      </w:r>
    </w:p>
    <w:p w14:paraId="539DD1AA">
      <w:pPr>
        <w:adjustRightInd w:val="0"/>
        <w:snapToGrid w:val="0"/>
        <w:spacing w:beforeLines="0" w:after="0" w:line="540" w:lineRule="exact"/>
        <w:ind w:firstLine="600"/>
        <w:jc w:val="both"/>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在适用范围上，</w:t>
      </w:r>
      <w:r>
        <w:rPr>
          <w:rFonts w:hint="eastAsia" w:ascii="Times New Roman" w:hAnsi="Times New Roman" w:eastAsia="仿宋" w:cs="Times New Roman"/>
          <w:sz w:val="32"/>
          <w:szCs w:val="32"/>
          <w:highlight w:val="none"/>
          <w:lang w:eastAsia="zh-CN"/>
        </w:rPr>
        <w:t>本指导原则</w:t>
      </w:r>
      <w:r>
        <w:rPr>
          <w:rFonts w:hint="default" w:ascii="Times New Roman" w:hAnsi="Times New Roman" w:eastAsia="仿宋" w:cs="Times New Roman"/>
          <w:sz w:val="32"/>
          <w:szCs w:val="32"/>
          <w:highlight w:val="none"/>
        </w:rPr>
        <w:t>主要适用于基于真实世界数据开展的</w:t>
      </w:r>
      <w:r>
        <w:rPr>
          <w:rFonts w:hint="eastAsia" w:ascii="Times New Roman" w:hAnsi="Times New Roman" w:eastAsia="仿宋" w:cs="Times New Roman"/>
          <w:color w:val="000000"/>
          <w:kern w:val="0"/>
          <w:sz w:val="32"/>
          <w:szCs w:val="32"/>
          <w:lang w:val="en-US" w:eastAsia="zh-CN"/>
        </w:rPr>
        <w:t>药品</w:t>
      </w:r>
      <w:r>
        <w:rPr>
          <w:rFonts w:hint="default" w:ascii="Times New Roman" w:hAnsi="Times New Roman" w:eastAsia="仿宋" w:cs="Times New Roman"/>
          <w:color w:val="000000"/>
          <w:kern w:val="0"/>
          <w:sz w:val="32"/>
          <w:szCs w:val="32"/>
        </w:rPr>
        <w:t>安全性</w:t>
      </w:r>
      <w:r>
        <w:rPr>
          <w:rFonts w:hint="default" w:ascii="Times New Roman" w:hAnsi="Times New Roman" w:eastAsia="仿宋" w:cs="Times New Roman"/>
          <w:sz w:val="32"/>
          <w:szCs w:val="32"/>
          <w:highlight w:val="none"/>
        </w:rPr>
        <w:t>主动监测研究报告的撰写，</w:t>
      </w:r>
      <w:r>
        <w:rPr>
          <w:rFonts w:hint="eastAsia" w:ascii="Times New Roman" w:hAnsi="Times New Roman" w:eastAsia="仿宋" w:cs="Times New Roman"/>
          <w:sz w:val="32"/>
          <w:szCs w:val="32"/>
          <w:highlight w:val="none"/>
          <w:lang w:val="en-US" w:eastAsia="zh-CN"/>
        </w:rPr>
        <w:t>涵盖</w:t>
      </w:r>
      <w:r>
        <w:rPr>
          <w:rFonts w:hint="default" w:ascii="Times New Roman" w:hAnsi="Times New Roman" w:eastAsia="仿宋" w:cs="Times New Roman"/>
          <w:sz w:val="32"/>
          <w:szCs w:val="32"/>
          <w:highlight w:val="none"/>
        </w:rPr>
        <w:t>但不限于</w:t>
      </w:r>
      <w:r>
        <w:rPr>
          <w:rFonts w:hint="eastAsia" w:ascii="Times New Roman" w:hAnsi="Times New Roman" w:eastAsia="仿宋" w:cs="Times New Roman"/>
          <w:sz w:val="32"/>
          <w:szCs w:val="32"/>
          <w:highlight w:val="none"/>
          <w:lang w:val="en-US" w:eastAsia="zh-CN"/>
        </w:rPr>
        <w:t>以下研究场景</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发现可疑风险信号、评价新发现的风险信号及评估药品风险、评估特殊人群用药风险、评估药物相互作用风险、描述药源性疾病流行情况</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以及风险控制措施实施效果评估等</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本指导原则</w:t>
      </w:r>
      <w:r>
        <w:rPr>
          <w:rFonts w:hint="default" w:ascii="Times New Roman" w:hAnsi="Times New Roman" w:eastAsia="仿宋" w:cs="Times New Roman"/>
          <w:sz w:val="32"/>
          <w:szCs w:val="32"/>
          <w:highlight w:val="none"/>
        </w:rPr>
        <w:t>不适用于干预性</w:t>
      </w:r>
      <w:r>
        <w:rPr>
          <w:rFonts w:hint="eastAsia" w:ascii="Times New Roman" w:hAnsi="Times New Roman" w:eastAsia="仿宋" w:cs="Times New Roman"/>
          <w:sz w:val="32"/>
          <w:szCs w:val="32"/>
          <w:highlight w:val="none"/>
          <w:lang w:val="en-US" w:eastAsia="zh-CN"/>
        </w:rPr>
        <w:t>临床</w:t>
      </w:r>
      <w:r>
        <w:rPr>
          <w:rFonts w:hint="default" w:ascii="Times New Roman" w:hAnsi="Times New Roman" w:eastAsia="仿宋" w:cs="Times New Roman"/>
          <w:sz w:val="32"/>
          <w:szCs w:val="32"/>
          <w:highlight w:val="none"/>
        </w:rPr>
        <w:t>研究。</w:t>
      </w:r>
    </w:p>
    <w:p w14:paraId="2CD7FE11">
      <w:pPr>
        <w:adjustRightInd w:val="0"/>
        <w:snapToGrid w:val="0"/>
        <w:spacing w:beforeLines="-2147483648" w:after="0" w:line="540" w:lineRule="exact"/>
        <w:ind w:firstLine="56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本指导原则仅代表药品监管部门当前的观点和认识，随着药品监管科学研究的不断深入，本指导原则中的相关要求及内容也将不断完善。</w:t>
      </w:r>
    </w:p>
    <w:p w14:paraId="5113C5CA">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hint="eastAsia" w:ascii="黑体" w:hAnsi="黑体" w:eastAsia="黑体"/>
          <w:kern w:val="0"/>
          <w:sz w:val="32"/>
          <w:szCs w:val="32"/>
        </w:rPr>
        <w:t>四、</w:t>
      </w:r>
      <w:r>
        <w:rPr>
          <w:rFonts w:hint="eastAsia" w:ascii="黑体" w:hAnsi="黑体" w:eastAsia="黑体"/>
          <w:sz w:val="32"/>
          <w:szCs w:val="32"/>
        </w:rPr>
        <w:t>主要内容</w:t>
      </w:r>
    </w:p>
    <w:p w14:paraId="5B212DCB">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eastAsia="zh-CN"/>
        </w:rPr>
      </w:pPr>
      <w:r>
        <w:rPr>
          <w:rFonts w:hint="eastAsia" w:ascii="Times New Roman" w:hAnsi="Times New Roman" w:eastAsia="仿宋" w:cs="Times New Roman"/>
          <w:color w:val="000000"/>
          <w:kern w:val="0"/>
          <w:sz w:val="32"/>
          <w:szCs w:val="32"/>
        </w:rPr>
        <w:t>本指导原则共分为</w:t>
      </w:r>
      <w:r>
        <w:rPr>
          <w:rFonts w:hint="eastAsia" w:ascii="Times New Roman" w:hAnsi="Times New Roman" w:eastAsia="仿宋" w:cs="Times New Roman"/>
          <w:color w:val="000000"/>
          <w:kern w:val="0"/>
          <w:sz w:val="32"/>
          <w:szCs w:val="32"/>
          <w:lang w:val="en-US" w:eastAsia="zh-CN"/>
        </w:rPr>
        <w:t>三</w:t>
      </w:r>
      <w:r>
        <w:rPr>
          <w:rFonts w:hint="eastAsia" w:ascii="Times New Roman" w:hAnsi="Times New Roman" w:eastAsia="仿宋" w:cs="Times New Roman"/>
          <w:color w:val="000000"/>
          <w:kern w:val="0"/>
          <w:sz w:val="32"/>
          <w:szCs w:val="32"/>
        </w:rPr>
        <w:t>章</w:t>
      </w:r>
      <w:r>
        <w:rPr>
          <w:rFonts w:hint="eastAsia" w:ascii="Times New Roman" w:hAnsi="Times New Roman" w:eastAsia="仿宋" w:cs="Times New Roman"/>
          <w:color w:val="000000"/>
          <w:kern w:val="0"/>
          <w:sz w:val="32"/>
          <w:szCs w:val="32"/>
          <w:lang w:eastAsia="zh-CN"/>
        </w:rPr>
        <w:t>，各章内容概要如下：</w:t>
      </w:r>
    </w:p>
    <w:p w14:paraId="1F89C7CC">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一</w:t>
      </w:r>
      <w:r>
        <w:rPr>
          <w:rFonts w:hint="eastAsia" w:ascii="Times New Roman" w:hAnsi="Times New Roman" w:eastAsia="仿宋" w:cs="Times New Roman"/>
          <w:color w:val="000000"/>
          <w:kern w:val="0"/>
          <w:sz w:val="32"/>
          <w:szCs w:val="32"/>
        </w:rPr>
        <w:t xml:space="preserve">章 </w:t>
      </w:r>
      <w:r>
        <w:rPr>
          <w:rFonts w:hint="eastAsia" w:ascii="Times New Roman" w:hAnsi="Times New Roman" w:eastAsia="仿宋" w:cs="Times New Roman"/>
          <w:color w:val="000000"/>
          <w:kern w:val="0"/>
          <w:sz w:val="32"/>
          <w:szCs w:val="32"/>
          <w:lang w:val="en-US" w:eastAsia="zh-CN"/>
        </w:rPr>
        <w:t>目的，主要阐述本指导原则的制定目标。</w:t>
      </w:r>
    </w:p>
    <w:p w14:paraId="12783CCB">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lang w:val="en-US"/>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二</w:t>
      </w:r>
      <w:r>
        <w:rPr>
          <w:rFonts w:hint="eastAsia" w:ascii="Times New Roman" w:hAnsi="Times New Roman" w:eastAsia="仿宋" w:cs="Times New Roman"/>
          <w:color w:val="000000"/>
          <w:kern w:val="0"/>
          <w:sz w:val="32"/>
          <w:szCs w:val="32"/>
        </w:rPr>
        <w:t xml:space="preserve">章 </w:t>
      </w:r>
      <w:r>
        <w:rPr>
          <w:rFonts w:hint="eastAsia" w:ascii="Times New Roman" w:hAnsi="Times New Roman" w:eastAsia="仿宋" w:cs="Times New Roman"/>
          <w:color w:val="000000"/>
          <w:kern w:val="0"/>
          <w:sz w:val="32"/>
          <w:szCs w:val="32"/>
          <w:lang w:val="en-US" w:eastAsia="zh-CN"/>
        </w:rPr>
        <w:t>报告内容，系统规定主动监测研究报告应包含的内容模块，包括标题与封面信息、摘要、研究背景、研究方法、研究结果、讨论与结论、利益冲突与资金来源、参考文献、报告附件清单等方面。</w:t>
      </w:r>
    </w:p>
    <w:p w14:paraId="141340B7">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三</w:t>
      </w:r>
      <w:r>
        <w:rPr>
          <w:rFonts w:hint="eastAsia" w:ascii="Times New Roman" w:hAnsi="Times New Roman" w:eastAsia="仿宋" w:cs="Times New Roman"/>
          <w:color w:val="000000"/>
          <w:kern w:val="0"/>
          <w:sz w:val="32"/>
          <w:szCs w:val="32"/>
        </w:rPr>
        <w:t>章 特殊研究场景的报告要求</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针对撰写主动监测报告时需要特别关注的其他事项提出相应要求，主要包括与自发报告数据的结合、开展信号检测的报告要求、以及中药与民族药主动监测的特殊考虑等内容。</w:t>
      </w:r>
    </w:p>
    <w:p w14:paraId="79A186D8">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val="en-US" w:eastAsia="zh-CN"/>
        </w:rPr>
      </w:pPr>
    </w:p>
    <w:p w14:paraId="2C9FF9F9">
      <w:pPr>
        <w:pStyle w:val="7"/>
        <w:keepNext w:val="0"/>
        <w:keepLines w:val="0"/>
        <w:pageBreakBefore w:val="0"/>
        <w:kinsoku/>
        <w:wordWrap/>
        <w:overflowPunct/>
        <w:topLinePunct w:val="0"/>
        <w:autoSpaceDE/>
        <w:autoSpaceDN/>
        <w:bidi w:val="0"/>
        <w:adjustRightInd w:val="0"/>
        <w:snapToGrid w:val="0"/>
        <w:spacing w:line="540" w:lineRule="exact"/>
        <w:ind w:left="1278" w:leftChars="304" w:hanging="640" w:hangingChars="200"/>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附：起草论证专家名单</w:t>
      </w:r>
    </w:p>
    <w:p w14:paraId="46B3906E">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val="en-US" w:eastAsia="zh-CN"/>
        </w:rPr>
      </w:pPr>
    </w:p>
    <w:p w14:paraId="51EF58B2">
      <w:pPr>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br w:type="page"/>
      </w:r>
    </w:p>
    <w:p w14:paraId="4BD4F778">
      <w:pPr>
        <w:pStyle w:val="7"/>
        <w:adjustRightInd w:val="0"/>
        <w:snapToGrid w:val="0"/>
        <w:spacing w:line="540" w:lineRule="exact"/>
        <w:ind w:firstLine="0" w:firstLineChars="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w:t>
      </w:r>
    </w:p>
    <w:p w14:paraId="1135DDCB">
      <w:pPr>
        <w:pStyle w:val="7"/>
        <w:adjustRightInd w:val="0"/>
        <w:snapToGrid w:val="0"/>
        <w:spacing w:line="540" w:lineRule="exact"/>
        <w:ind w:firstLine="0" w:firstLineChars="0"/>
        <w:rPr>
          <w:rFonts w:hint="eastAsia" w:ascii="黑体" w:hAnsi="黑体" w:eastAsia="黑体" w:cs="黑体"/>
          <w:color w:val="000000"/>
          <w:kern w:val="0"/>
          <w:sz w:val="32"/>
          <w:szCs w:val="32"/>
        </w:rPr>
      </w:pPr>
    </w:p>
    <w:p w14:paraId="62B0DB11">
      <w:pPr>
        <w:pStyle w:val="7"/>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《药品安全性主动监测</w:t>
      </w:r>
      <w:r>
        <w:rPr>
          <w:rFonts w:hint="eastAsia" w:ascii="Times New Roman" w:hAnsi="Times New Roman" w:eastAsia="方正小标宋简体" w:cs="Times New Roman"/>
          <w:sz w:val="44"/>
          <w:szCs w:val="48"/>
          <w:lang w:val="en-US" w:eastAsia="zh-CN"/>
        </w:rPr>
        <w:t>研究</w:t>
      </w:r>
      <w:r>
        <w:rPr>
          <w:rFonts w:hint="eastAsia" w:ascii="Times New Roman" w:hAnsi="Times New Roman" w:eastAsia="方正小标宋简体" w:cs="Times New Roman"/>
          <w:sz w:val="44"/>
          <w:szCs w:val="48"/>
        </w:rPr>
        <w:t>报告</w:t>
      </w:r>
      <w:r>
        <w:rPr>
          <w:rFonts w:hint="eastAsia" w:ascii="Times New Roman" w:hAnsi="Times New Roman" w:eastAsia="方正小标宋简体" w:cs="Times New Roman"/>
          <w:sz w:val="44"/>
          <w:szCs w:val="48"/>
          <w:lang w:val="en-US" w:eastAsia="zh-CN"/>
        </w:rPr>
        <w:t>撰写</w:t>
      </w:r>
      <w:r>
        <w:rPr>
          <w:rFonts w:hint="eastAsia" w:ascii="方正小标宋简体" w:hAnsi="方正小标宋简体" w:eastAsia="方正小标宋简体" w:cs="方正小标宋简体"/>
          <w:bCs/>
          <w:color w:val="000000"/>
          <w:sz w:val="44"/>
          <w:szCs w:val="44"/>
        </w:rPr>
        <w:t>规范指导原则（征求意见稿）》起草论证</w:t>
      </w:r>
    </w:p>
    <w:p w14:paraId="2517BE4D">
      <w:pPr>
        <w:pStyle w:val="7"/>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sz w:val="44"/>
          <w:szCs w:val="44"/>
        </w:rPr>
        <w:t>专家名单</w:t>
      </w:r>
    </w:p>
    <w:p w14:paraId="41EB13C7">
      <w:pPr>
        <w:pStyle w:val="7"/>
        <w:adjustRightInd w:val="0"/>
        <w:snapToGrid w:val="0"/>
        <w:spacing w:line="540" w:lineRule="exact"/>
        <w:ind w:firstLine="640"/>
        <w:rPr>
          <w:rFonts w:ascii="黑体" w:hAnsi="黑体" w:eastAsia="黑体"/>
          <w:kern w:val="0"/>
          <w:sz w:val="32"/>
          <w:szCs w:val="32"/>
        </w:rPr>
      </w:pPr>
      <w:r>
        <w:rPr>
          <w:rFonts w:hint="eastAsia" w:ascii="黑体" w:hAnsi="黑体" w:eastAsia="黑体"/>
          <w:kern w:val="0"/>
          <w:sz w:val="32"/>
          <w:szCs w:val="32"/>
        </w:rPr>
        <w:t>一、起草小组</w:t>
      </w:r>
    </w:p>
    <w:p w14:paraId="0A5EE41E">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评价中心：宋海波、孟康康、贾晋生、漆燕、胡丹荔</w:t>
      </w:r>
    </w:p>
    <w:p w14:paraId="713819AD">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highlight w:val="none"/>
          <w:lang w:val="en-US" w:eastAsia="zh-CN"/>
        </w:rPr>
      </w:pPr>
      <w:r>
        <w:rPr>
          <w:rFonts w:hint="eastAsia" w:ascii="Times New Roman" w:hAnsi="Times New Roman" w:eastAsia="仿宋" w:cs="Times New Roman"/>
          <w:color w:val="000000"/>
          <w:kern w:val="0"/>
          <w:sz w:val="32"/>
          <w:szCs w:val="32"/>
          <w:lang w:val="en-US" w:eastAsia="zh-CN"/>
        </w:rPr>
        <w:t>北京大学医学部</w:t>
      </w:r>
      <w:r>
        <w:rPr>
          <w:rFonts w:hint="eastAsia" w:ascii="Times New Roman" w:hAnsi="Times New Roman" w:eastAsia="仿宋" w:cs="Times New Roman"/>
          <w:color w:val="000000"/>
          <w:kern w:val="0"/>
          <w:sz w:val="32"/>
          <w:szCs w:val="32"/>
          <w:highlight w:val="none"/>
          <w:lang w:val="en-US" w:eastAsia="zh-CN"/>
        </w:rPr>
        <w:t>：孙凤、陈晓薇、郑泳祺</w:t>
      </w:r>
    </w:p>
    <w:p w14:paraId="337812E5">
      <w:pPr>
        <w:pStyle w:val="7"/>
        <w:adjustRightInd w:val="0"/>
        <w:snapToGrid w:val="0"/>
        <w:spacing w:line="540" w:lineRule="exact"/>
        <w:ind w:firstLine="640"/>
        <w:rPr>
          <w:rFonts w:ascii="黑体" w:hAnsi="黑体" w:eastAsia="黑体"/>
          <w:kern w:val="0"/>
          <w:sz w:val="32"/>
          <w:szCs w:val="32"/>
        </w:rPr>
      </w:pPr>
      <w:r>
        <w:rPr>
          <w:rFonts w:hint="eastAsia" w:ascii="黑体" w:hAnsi="黑体" w:eastAsia="黑体"/>
          <w:kern w:val="0"/>
          <w:sz w:val="32"/>
          <w:szCs w:val="32"/>
          <w:lang w:val="en-US" w:eastAsia="zh-CN"/>
        </w:rPr>
        <w:t>二</w:t>
      </w:r>
      <w:r>
        <w:rPr>
          <w:rFonts w:hint="eastAsia" w:ascii="黑体" w:hAnsi="黑体" w:eastAsia="黑体"/>
          <w:kern w:val="0"/>
          <w:sz w:val="32"/>
          <w:szCs w:val="32"/>
        </w:rPr>
        <w:t>、参与论证专家</w:t>
      </w:r>
    </w:p>
    <w:p w14:paraId="2EF45A4B">
      <w:pPr>
        <w:pStyle w:val="7"/>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olor w:val="0000FF"/>
          <w:kern w:val="0"/>
          <w:sz w:val="32"/>
          <w:szCs w:val="32"/>
          <w:highlight w:val="none"/>
        </w:rPr>
      </w:pPr>
      <w:r>
        <w:rPr>
          <w:rFonts w:hint="eastAsia" w:ascii="Times New Roman" w:hAnsi="Times New Roman" w:eastAsia="仿宋" w:cs="Times New Roman"/>
          <w:color w:val="000000"/>
          <w:kern w:val="0"/>
          <w:sz w:val="32"/>
          <w:szCs w:val="32"/>
          <w:lang w:val="en-US" w:eastAsia="zh-CN"/>
        </w:rPr>
        <w:t>詹思延、谢雁鸣、刘建平、孙鑫、杨悦、高培、柳鹏程、</w:t>
      </w:r>
      <w:r>
        <w:rPr>
          <w:rFonts w:hint="eastAsia" w:ascii="Times New Roman" w:hAnsi="Times New Roman" w:eastAsia="仿宋" w:cs="Times New Roman"/>
          <w:color w:val="000000"/>
          <w:kern w:val="0"/>
          <w:sz w:val="32"/>
          <w:szCs w:val="32"/>
          <w:highlight w:val="none"/>
          <w:lang w:val="en-US" w:eastAsia="zh-CN"/>
        </w:rPr>
        <w:t>王雯、</w:t>
      </w:r>
      <w:r>
        <w:rPr>
          <w:rFonts w:hint="eastAsia" w:ascii="Times New Roman" w:hAnsi="Times New Roman" w:eastAsia="仿宋" w:cs="Times New Roman"/>
          <w:color w:val="000000"/>
          <w:kern w:val="0"/>
          <w:sz w:val="32"/>
          <w:szCs w:val="32"/>
          <w:lang w:val="en-US" w:eastAsia="zh-CN"/>
        </w:rPr>
        <w:t>温泽淮、黄丽红、黎国威、</w:t>
      </w:r>
      <w:r>
        <w:rPr>
          <w:rFonts w:hint="eastAsia" w:ascii="Times New Roman" w:hAnsi="Times New Roman" w:eastAsia="仿宋" w:cs="Times New Roman"/>
          <w:color w:val="000000"/>
          <w:kern w:val="0"/>
          <w:sz w:val="32"/>
          <w:szCs w:val="32"/>
          <w:highlight w:val="none"/>
          <w:lang w:val="en-US" w:eastAsia="zh-CN"/>
        </w:rPr>
        <w:t>徐嘉悦、</w:t>
      </w:r>
      <w:r>
        <w:rPr>
          <w:rFonts w:hint="eastAsia" w:ascii="Times New Roman" w:hAnsi="Times New Roman" w:eastAsia="仿宋" w:cs="Times New Roman"/>
          <w:color w:val="000000"/>
          <w:kern w:val="0"/>
          <w:sz w:val="32"/>
          <w:szCs w:val="32"/>
          <w:lang w:val="en-US" w:eastAsia="zh-CN"/>
        </w:rPr>
        <w:t>钟蕾、李霞、于成章、熊慧瑜、黄凌、苗会青、王</w:t>
      </w:r>
      <w:bookmarkStart w:id="0" w:name="_GoBack"/>
      <w:bookmarkEnd w:id="0"/>
      <w:r>
        <w:rPr>
          <w:rFonts w:hint="eastAsia" w:ascii="Times New Roman" w:hAnsi="Times New Roman" w:eastAsia="仿宋" w:cs="Times New Roman"/>
          <w:color w:val="000000"/>
          <w:kern w:val="0"/>
          <w:sz w:val="32"/>
          <w:szCs w:val="32"/>
          <w:lang w:val="en-US" w:eastAsia="zh-CN"/>
        </w:rPr>
        <w:t>涛、冯胜、李强、黄哲宙、周凌芸</w:t>
      </w:r>
      <w:r>
        <w:rPr>
          <w:rFonts w:hint="eastAsia" w:ascii="Times New Roman" w:hAnsi="Times New Roman" w:eastAsia="仿宋" w:cs="Times New Roman"/>
          <w:color w:val="000000"/>
          <w:kern w:val="0"/>
          <w:sz w:val="32"/>
          <w:szCs w:val="32"/>
          <w:highlight w:val="none"/>
          <w:lang w:val="en-US" w:eastAsia="zh-CN"/>
        </w:rPr>
        <w:t>、</w:t>
      </w:r>
      <w:r>
        <w:rPr>
          <w:rFonts w:hint="eastAsia" w:ascii="Times New Roman" w:hAnsi="Times New Roman" w:eastAsia="仿宋" w:cs="Times New Roman"/>
          <w:color w:val="auto"/>
          <w:kern w:val="0"/>
          <w:sz w:val="32"/>
          <w:szCs w:val="32"/>
          <w:highlight w:val="none"/>
          <w:lang w:val="en-US" w:eastAsia="zh-CN"/>
        </w:rPr>
        <w:t>钟佳颖、王丹、刘硕、朱会卷</w:t>
      </w:r>
    </w:p>
    <w:sectPr>
      <w:footerReference r:id="rId5" w:type="default"/>
      <w:pgSz w:w="11906" w:h="16838"/>
      <w:pgMar w:top="2098" w:right="1474" w:bottom="1984" w:left="1588"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19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84570">
                          <w:pPr>
                            <w:pStyle w:val="2"/>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E84570">
                    <w:pPr>
                      <w:pStyle w:val="2"/>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4EF8"/>
    <w:rsid w:val="02993FF8"/>
    <w:rsid w:val="0365214C"/>
    <w:rsid w:val="05EC5A56"/>
    <w:rsid w:val="06974064"/>
    <w:rsid w:val="074E1FB6"/>
    <w:rsid w:val="080F6AEF"/>
    <w:rsid w:val="0D2A73D4"/>
    <w:rsid w:val="16A45B73"/>
    <w:rsid w:val="1A401300"/>
    <w:rsid w:val="24BE4F4D"/>
    <w:rsid w:val="25805CB8"/>
    <w:rsid w:val="2849353B"/>
    <w:rsid w:val="2A1B0E63"/>
    <w:rsid w:val="329A50BF"/>
    <w:rsid w:val="37A64C98"/>
    <w:rsid w:val="41820816"/>
    <w:rsid w:val="42CA4B4A"/>
    <w:rsid w:val="46F072DB"/>
    <w:rsid w:val="49EE7012"/>
    <w:rsid w:val="4E921C03"/>
    <w:rsid w:val="530250B6"/>
    <w:rsid w:val="5B9C7CAC"/>
    <w:rsid w:val="6B054AC4"/>
    <w:rsid w:val="739A30E2"/>
    <w:rsid w:val="797615D9"/>
    <w:rsid w:val="7C94748A"/>
    <w:rsid w:val="7D284586"/>
    <w:rsid w:val="7F2938D0"/>
    <w:rsid w:val="7F89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等线" w:hAnsi="等线" w:eastAsia="等线" w:cs="宋体"/>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paragraph" w:customStyle="1" w:styleId="7">
    <w:name w:val="列表段落1"/>
    <w:basedOn w:val="1"/>
    <w:qFormat/>
    <w:uiPriority w:val="0"/>
    <w:pPr>
      <w:spacing w:line="240" w:lineRule="auto"/>
      <w:ind w:firstLine="42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1495</Words>
  <Characters>1508</Characters>
  <Lines>0</Lines>
  <Paragraphs>0</Paragraphs>
  <TotalTime>6</TotalTime>
  <ScaleCrop>false</ScaleCrop>
  <LinksUpToDate>false</LinksUpToDate>
  <CharactersWithSpaces>1512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2026-05-11T08:06:00Z</dcterms:created>
  <dc:creator>Administrator</dc:creator>
  <cp:lastModifiedBy>漆燕</cp:lastModifiedBy>
  <dcterms:modified xsi:type="dcterms:W3CDTF">2026-07-22T02:35:01Z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927BD902F27D45C1BB313660A55F4FE6</vt:lpwstr>
  </property>
  <property fmtid="{D5CDD505-2E9C-101B-9397-08002B2CF9AE}" pid="4" name="KSOTemplateDocerSaveRecord">
    <vt:lpwstr>eyJoZGlkIjoiMmUzMDI3NDlkNzI3ZTI3YTQ0YmExMDBiOTJjNjg5MTQiLCJ1c2VySWQiOiIxNzg5OTQ4MzM2In0=</vt:lpwstr>
  </property>
</Properties>
</file>