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445" w:rsidRDefault="007F0445" w:rsidP="007F0445">
      <w:pPr>
        <w:pStyle w:val="1"/>
        <w:jc w:val="center"/>
        <w:rPr>
          <w:rFonts w:ascii="微软雅黑" w:eastAsia="微软雅黑" w:hAnsi="微软雅黑"/>
          <w:lang w:val="en"/>
        </w:rPr>
      </w:pPr>
      <w:bookmarkStart w:id="0" w:name="_GoBack"/>
      <w:r>
        <w:rPr>
          <w:rFonts w:ascii="微软雅黑" w:eastAsia="微软雅黑" w:hAnsi="微软雅黑" w:hint="eastAsia"/>
          <w:lang w:val="en"/>
        </w:rPr>
        <w:t>《医疗器械不良事件监测和再评价管理办法（修正案草案）》（征求意见稿）</w:t>
      </w:r>
    </w:p>
    <w:bookmarkEnd w:id="0"/>
    <w:p w:rsidR="007F0445" w:rsidRDefault="007F0445" w:rsidP="007F0445">
      <w:pPr>
        <w:jc w:val="center"/>
        <w:rPr>
          <w:rFonts w:ascii="微软雅黑" w:eastAsia="微软雅黑" w:hAnsi="微软雅黑" w:hint="eastAsia"/>
          <w:vanish/>
          <w:szCs w:val="21"/>
          <w:lang w:val="en"/>
        </w:rPr>
      </w:pPr>
      <w:r>
        <w:rPr>
          <w:rFonts w:ascii="微软雅黑" w:eastAsia="微软雅黑" w:hAnsi="微软雅黑" w:hint="eastAsia"/>
          <w:vanish/>
          <w:szCs w:val="21"/>
          <w:lang w:val="en"/>
        </w:rPr>
        <w:t>微信扫一扫</w:t>
      </w:r>
    </w:p>
    <w:p w:rsidR="007F0445" w:rsidRDefault="007F0445" w:rsidP="007F0445">
      <w:pPr>
        <w:spacing w:before="100" w:beforeAutospacing="1" w:after="300" w:line="480" w:lineRule="atLeast"/>
        <w:rPr>
          <w:rFonts w:ascii="微软雅黑" w:eastAsia="微软雅黑" w:hAnsi="微软雅黑" w:hint="eastAsia"/>
          <w:color w:val="404040"/>
          <w:sz w:val="27"/>
          <w:szCs w:val="27"/>
          <w:lang w:val="en"/>
        </w:rPr>
      </w:pPr>
      <w:r>
        <w:rPr>
          <w:rFonts w:ascii="微软雅黑" w:eastAsia="微软雅黑" w:hAnsi="微软雅黑" w:hint="eastAsia"/>
          <w:color w:val="404040"/>
          <w:sz w:val="27"/>
          <w:szCs w:val="27"/>
          <w:lang w:val="en"/>
        </w:rPr>
        <w:t xml:space="preserve">　　一、  将“医疗器械上市许可持有人”统一修改为“医疗器械注册人、备案人”；将“境外持有人指定的代理人”统一修改为“境外医疗器械注册人、备案人指定的我国境内企业法人”;将“卫生行政部门”统一修改为“卫生健康主管部门”。</w:t>
      </w:r>
    </w:p>
    <w:p w:rsidR="007F0445" w:rsidRDefault="007F0445" w:rsidP="007F0445">
      <w:pPr>
        <w:spacing w:before="100" w:beforeAutospacing="1" w:after="300" w:line="480" w:lineRule="atLeast"/>
        <w:rPr>
          <w:rFonts w:ascii="微软雅黑" w:eastAsia="微软雅黑" w:hAnsi="微软雅黑" w:hint="eastAsia"/>
          <w:color w:val="404040"/>
          <w:sz w:val="27"/>
          <w:szCs w:val="27"/>
          <w:lang w:val="en"/>
        </w:rPr>
      </w:pPr>
      <w:r>
        <w:rPr>
          <w:rFonts w:ascii="微软雅黑" w:eastAsia="微软雅黑" w:hAnsi="微软雅黑" w:hint="eastAsia"/>
          <w:color w:val="404040"/>
          <w:sz w:val="27"/>
          <w:szCs w:val="27"/>
          <w:lang w:val="en"/>
        </w:rPr>
        <w:t xml:space="preserve">　　二、  将第四条第一项修改为：“医疗器械注册人、备案人，是指取得医疗器械注册证或者办理医疗器械备案的企业或者研制机构。”</w:t>
      </w:r>
    </w:p>
    <w:p w:rsidR="007F0445" w:rsidRDefault="007F0445" w:rsidP="007F0445">
      <w:pPr>
        <w:spacing w:before="100" w:beforeAutospacing="1" w:after="300" w:line="480" w:lineRule="atLeast"/>
        <w:rPr>
          <w:rFonts w:ascii="微软雅黑" w:eastAsia="微软雅黑" w:hAnsi="微软雅黑" w:hint="eastAsia"/>
          <w:color w:val="404040"/>
          <w:sz w:val="27"/>
          <w:szCs w:val="27"/>
          <w:lang w:val="en"/>
        </w:rPr>
      </w:pPr>
      <w:r>
        <w:rPr>
          <w:rFonts w:ascii="微软雅黑" w:eastAsia="微软雅黑" w:hAnsi="微软雅黑" w:hint="eastAsia"/>
          <w:color w:val="404040"/>
          <w:sz w:val="27"/>
          <w:szCs w:val="27"/>
          <w:lang w:val="en"/>
        </w:rPr>
        <w:t xml:space="preserve">　　三、  将第六十八条第一款修改为：“医疗器械注册人、备案人未按照本办法第四十八条规定及时采取有效风险控制措施、不配合药品监督管理部门开展的医疗器械不良事件相关调查的，药品监督管理部门可以要求其停产整改，必要时采取停止产品销售的控制措施。”</w:t>
      </w:r>
    </w:p>
    <w:p w:rsidR="007F0445" w:rsidRDefault="007F0445" w:rsidP="007F0445">
      <w:pPr>
        <w:spacing w:before="100" w:beforeAutospacing="1" w:after="300" w:line="480" w:lineRule="atLeast"/>
        <w:rPr>
          <w:rFonts w:ascii="微软雅黑" w:eastAsia="微软雅黑" w:hAnsi="微软雅黑" w:hint="eastAsia"/>
          <w:color w:val="404040"/>
          <w:sz w:val="27"/>
          <w:szCs w:val="27"/>
          <w:lang w:val="en"/>
        </w:rPr>
      </w:pPr>
      <w:r>
        <w:rPr>
          <w:rFonts w:ascii="微软雅黑" w:eastAsia="微软雅黑" w:hAnsi="微软雅黑" w:hint="eastAsia"/>
          <w:color w:val="404040"/>
          <w:sz w:val="27"/>
          <w:szCs w:val="27"/>
          <w:lang w:val="en"/>
        </w:rPr>
        <w:t xml:space="preserve">　　四、  将第七十条修改为：“医疗器械注册人、备案人有下列情形之一的，依照《医疗器械监督管理条例》第八十九条的规定处罚：</w:t>
      </w:r>
    </w:p>
    <w:p w:rsidR="007F0445" w:rsidRDefault="007F0445" w:rsidP="007F0445">
      <w:pPr>
        <w:spacing w:before="100" w:beforeAutospacing="1" w:after="300" w:line="480" w:lineRule="atLeast"/>
        <w:rPr>
          <w:rFonts w:ascii="微软雅黑" w:eastAsia="微软雅黑" w:hAnsi="微软雅黑" w:hint="eastAsia"/>
          <w:color w:val="404040"/>
          <w:sz w:val="27"/>
          <w:szCs w:val="27"/>
          <w:lang w:val="en"/>
        </w:rPr>
      </w:pPr>
      <w:r>
        <w:rPr>
          <w:rFonts w:ascii="微软雅黑" w:eastAsia="微软雅黑" w:hAnsi="微软雅黑" w:hint="eastAsia"/>
          <w:color w:val="404040"/>
          <w:sz w:val="27"/>
          <w:szCs w:val="27"/>
          <w:lang w:val="en"/>
        </w:rPr>
        <w:t xml:space="preserve">　　“（一）未主动收集并按照时限要求报告医疗器械不良事件的；</w:t>
      </w:r>
    </w:p>
    <w:p w:rsidR="007F0445" w:rsidRDefault="007F0445" w:rsidP="007F0445">
      <w:pPr>
        <w:spacing w:before="100" w:beforeAutospacing="1" w:after="300" w:line="480" w:lineRule="atLeast"/>
        <w:rPr>
          <w:rFonts w:ascii="微软雅黑" w:eastAsia="微软雅黑" w:hAnsi="微软雅黑" w:hint="eastAsia"/>
          <w:color w:val="404040"/>
          <w:sz w:val="27"/>
          <w:szCs w:val="27"/>
          <w:lang w:val="en"/>
        </w:rPr>
      </w:pPr>
      <w:r>
        <w:rPr>
          <w:rFonts w:ascii="微软雅黑" w:eastAsia="微软雅黑" w:hAnsi="微软雅黑" w:hint="eastAsia"/>
          <w:color w:val="404040"/>
          <w:sz w:val="27"/>
          <w:szCs w:val="27"/>
          <w:lang w:val="en"/>
        </w:rPr>
        <w:t xml:space="preserve">　　“（二）瞒报、漏报、虚假报告的；</w:t>
      </w:r>
    </w:p>
    <w:p w:rsidR="007F0445" w:rsidRDefault="007F0445" w:rsidP="007F0445">
      <w:pPr>
        <w:spacing w:before="100" w:beforeAutospacing="1" w:after="300" w:line="480" w:lineRule="atLeast"/>
        <w:rPr>
          <w:rFonts w:ascii="微软雅黑" w:eastAsia="微软雅黑" w:hAnsi="微软雅黑" w:hint="eastAsia"/>
          <w:color w:val="404040"/>
          <w:sz w:val="27"/>
          <w:szCs w:val="27"/>
          <w:lang w:val="en"/>
        </w:rPr>
      </w:pPr>
      <w:r>
        <w:rPr>
          <w:rFonts w:ascii="微软雅黑" w:eastAsia="微软雅黑" w:hAnsi="微软雅黑" w:hint="eastAsia"/>
          <w:color w:val="404040"/>
          <w:sz w:val="27"/>
          <w:szCs w:val="27"/>
          <w:lang w:val="en"/>
        </w:rPr>
        <w:t xml:space="preserve">　　“（三）未按照时限要求报告评价结果或者提交群体医疗器械不良事件调查报告的；</w:t>
      </w:r>
    </w:p>
    <w:p w:rsidR="007F0445" w:rsidRDefault="007F0445" w:rsidP="007F0445">
      <w:pPr>
        <w:spacing w:before="100" w:beforeAutospacing="1" w:after="300" w:line="480" w:lineRule="atLeast"/>
        <w:rPr>
          <w:rFonts w:ascii="微软雅黑" w:eastAsia="微软雅黑" w:hAnsi="微软雅黑" w:hint="eastAsia"/>
          <w:color w:val="404040"/>
          <w:sz w:val="27"/>
          <w:szCs w:val="27"/>
          <w:lang w:val="en"/>
        </w:rPr>
      </w:pPr>
      <w:r>
        <w:rPr>
          <w:rFonts w:ascii="微软雅黑" w:eastAsia="微软雅黑" w:hAnsi="微软雅黑" w:hint="eastAsia"/>
          <w:color w:val="404040"/>
          <w:sz w:val="27"/>
          <w:szCs w:val="27"/>
          <w:lang w:val="en"/>
        </w:rPr>
        <w:lastRenderedPageBreak/>
        <w:t xml:space="preserve">　　“（四）不配合药品监督管理部门和监测机构开展的医疗器械不良事件相关调查的。”</w:t>
      </w:r>
    </w:p>
    <w:p w:rsidR="007F0445" w:rsidRDefault="007F0445" w:rsidP="007F0445">
      <w:pPr>
        <w:spacing w:before="100" w:beforeAutospacing="1" w:after="300" w:line="480" w:lineRule="atLeast"/>
        <w:rPr>
          <w:rFonts w:ascii="微软雅黑" w:eastAsia="微软雅黑" w:hAnsi="微软雅黑" w:hint="eastAsia"/>
          <w:color w:val="404040"/>
          <w:sz w:val="27"/>
          <w:szCs w:val="27"/>
          <w:lang w:val="en"/>
        </w:rPr>
      </w:pPr>
      <w:r>
        <w:rPr>
          <w:rFonts w:ascii="微软雅黑" w:eastAsia="微软雅黑" w:hAnsi="微软雅黑" w:hint="eastAsia"/>
          <w:color w:val="404040"/>
          <w:sz w:val="27"/>
          <w:szCs w:val="27"/>
          <w:lang w:val="en"/>
        </w:rPr>
        <w:t xml:space="preserve">　　五、  将第七十一条修改为：“医疗器械经营企业、使用单位有下列情形之一的，依照《医疗器械监督管理条例》第八十九条的规定处罚：</w:t>
      </w:r>
    </w:p>
    <w:p w:rsidR="007F0445" w:rsidRDefault="007F0445" w:rsidP="007F0445">
      <w:pPr>
        <w:spacing w:before="100" w:beforeAutospacing="1" w:after="300" w:line="480" w:lineRule="atLeast"/>
        <w:rPr>
          <w:rFonts w:ascii="微软雅黑" w:eastAsia="微软雅黑" w:hAnsi="微软雅黑" w:hint="eastAsia"/>
          <w:color w:val="404040"/>
          <w:sz w:val="27"/>
          <w:szCs w:val="27"/>
          <w:lang w:val="en"/>
        </w:rPr>
      </w:pPr>
      <w:r>
        <w:rPr>
          <w:rFonts w:ascii="微软雅黑" w:eastAsia="微软雅黑" w:hAnsi="微软雅黑" w:hint="eastAsia"/>
          <w:color w:val="404040"/>
          <w:sz w:val="27"/>
          <w:szCs w:val="27"/>
          <w:lang w:val="en"/>
        </w:rPr>
        <w:t xml:space="preserve">　　“（一）未主动收集并按照时限要求报告医疗器械不良事件的；</w:t>
      </w:r>
    </w:p>
    <w:p w:rsidR="007F0445" w:rsidRDefault="007F0445" w:rsidP="007F0445">
      <w:pPr>
        <w:spacing w:before="100" w:beforeAutospacing="1" w:after="300" w:line="480" w:lineRule="atLeast"/>
        <w:rPr>
          <w:rFonts w:ascii="微软雅黑" w:eastAsia="微软雅黑" w:hAnsi="微软雅黑" w:hint="eastAsia"/>
          <w:color w:val="404040"/>
          <w:sz w:val="27"/>
          <w:szCs w:val="27"/>
          <w:lang w:val="en"/>
        </w:rPr>
      </w:pPr>
      <w:r>
        <w:rPr>
          <w:rFonts w:ascii="微软雅黑" w:eastAsia="微软雅黑" w:hAnsi="微软雅黑" w:hint="eastAsia"/>
          <w:color w:val="404040"/>
          <w:sz w:val="27"/>
          <w:szCs w:val="27"/>
          <w:lang w:val="en"/>
        </w:rPr>
        <w:t xml:space="preserve">　　“（二）瞒报、漏报、虚假报告的；</w:t>
      </w:r>
    </w:p>
    <w:p w:rsidR="007F0445" w:rsidRDefault="007F0445" w:rsidP="007F0445">
      <w:pPr>
        <w:spacing w:before="100" w:beforeAutospacing="1" w:after="300" w:line="480" w:lineRule="atLeast"/>
        <w:rPr>
          <w:rFonts w:ascii="微软雅黑" w:eastAsia="微软雅黑" w:hAnsi="微软雅黑" w:hint="eastAsia"/>
          <w:color w:val="404040"/>
          <w:sz w:val="27"/>
          <w:szCs w:val="27"/>
          <w:lang w:val="en"/>
        </w:rPr>
      </w:pPr>
      <w:r>
        <w:rPr>
          <w:rFonts w:ascii="微软雅黑" w:eastAsia="微软雅黑" w:hAnsi="微软雅黑" w:hint="eastAsia"/>
          <w:color w:val="404040"/>
          <w:sz w:val="27"/>
          <w:szCs w:val="27"/>
          <w:lang w:val="en"/>
        </w:rPr>
        <w:t xml:space="preserve">　　“（三）不配合药品监督管理部门、卫生健康主管部门和监测机构开展的医疗器械不良事件相关调查的。”</w:t>
      </w:r>
    </w:p>
    <w:p w:rsidR="007F0445" w:rsidRDefault="007F0445" w:rsidP="007F0445">
      <w:pPr>
        <w:spacing w:before="100" w:beforeAutospacing="1" w:after="300" w:line="480" w:lineRule="atLeast"/>
        <w:rPr>
          <w:rFonts w:ascii="微软雅黑" w:eastAsia="微软雅黑" w:hAnsi="微软雅黑" w:hint="eastAsia"/>
          <w:color w:val="404040"/>
          <w:sz w:val="27"/>
          <w:szCs w:val="27"/>
          <w:lang w:val="en"/>
        </w:rPr>
      </w:pPr>
      <w:r>
        <w:rPr>
          <w:rFonts w:ascii="微软雅黑" w:eastAsia="微软雅黑" w:hAnsi="微软雅黑" w:hint="eastAsia"/>
          <w:color w:val="404040"/>
          <w:sz w:val="27"/>
          <w:szCs w:val="27"/>
          <w:lang w:val="en"/>
        </w:rPr>
        <w:t xml:space="preserve">　　六、  将第七十二条修改为：“医疗器械注册人、备案人未按照要求开展再评价、隐匿再评价结果、应当提出注销申请或者取消备案而未提出的，由负责药品监督管理的部门责令改正，给予警告，可以并处1万元以上3万元以下罚款。”</w:t>
      </w:r>
    </w:p>
    <w:p w:rsidR="007F0445" w:rsidRDefault="007F0445" w:rsidP="007F0445">
      <w:pPr>
        <w:spacing w:before="100" w:beforeAutospacing="1" w:after="300" w:line="480" w:lineRule="atLeast"/>
        <w:rPr>
          <w:rFonts w:ascii="微软雅黑" w:eastAsia="微软雅黑" w:hAnsi="微软雅黑" w:hint="eastAsia"/>
          <w:color w:val="404040"/>
          <w:sz w:val="27"/>
          <w:szCs w:val="27"/>
          <w:lang w:val="en"/>
        </w:rPr>
      </w:pPr>
      <w:r>
        <w:rPr>
          <w:rFonts w:ascii="微软雅黑" w:eastAsia="微软雅黑" w:hAnsi="微软雅黑" w:hint="eastAsia"/>
          <w:color w:val="404040"/>
          <w:sz w:val="27"/>
          <w:szCs w:val="27"/>
          <w:lang w:val="en"/>
        </w:rPr>
        <w:t xml:space="preserve">　　七、  删去第七十九条。</w:t>
      </w:r>
    </w:p>
    <w:p w:rsidR="007F0445" w:rsidRDefault="007F0445" w:rsidP="007F0445">
      <w:pPr>
        <w:spacing w:before="100" w:beforeAutospacing="1" w:after="300" w:line="480" w:lineRule="atLeast"/>
        <w:rPr>
          <w:rFonts w:ascii="微软雅黑" w:eastAsia="微软雅黑" w:hAnsi="微软雅黑" w:hint="eastAsia"/>
          <w:color w:val="404040"/>
          <w:sz w:val="27"/>
          <w:szCs w:val="27"/>
          <w:lang w:val="en"/>
        </w:rPr>
      </w:pPr>
      <w:r>
        <w:rPr>
          <w:rFonts w:ascii="微软雅黑" w:eastAsia="微软雅黑" w:hAnsi="微软雅黑" w:hint="eastAsia"/>
          <w:color w:val="404040"/>
          <w:sz w:val="27"/>
          <w:szCs w:val="27"/>
          <w:lang w:val="en"/>
        </w:rPr>
        <w:t xml:space="preserve">　　八、  本修正案自公布之日起施行。</w:t>
      </w:r>
    </w:p>
    <w:p w:rsidR="007F1496" w:rsidRPr="007F0445" w:rsidRDefault="007F1496" w:rsidP="007F0445">
      <w:pPr>
        <w:rPr>
          <w:lang w:val="en"/>
        </w:rPr>
      </w:pPr>
    </w:p>
    <w:sectPr w:rsidR="007F1496" w:rsidRPr="007F04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6B9" w:rsidRDefault="00CC06B9" w:rsidP="009148F5">
      <w:r>
        <w:separator/>
      </w:r>
    </w:p>
  </w:endnote>
  <w:endnote w:type="continuationSeparator" w:id="0">
    <w:p w:rsidR="00CC06B9" w:rsidRDefault="00CC06B9" w:rsidP="00914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6B9" w:rsidRDefault="00CC06B9" w:rsidP="009148F5">
      <w:r>
        <w:separator/>
      </w:r>
    </w:p>
  </w:footnote>
  <w:footnote w:type="continuationSeparator" w:id="0">
    <w:p w:rsidR="00CC06B9" w:rsidRDefault="00CC06B9" w:rsidP="009148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701D7"/>
    <w:multiLevelType w:val="multilevel"/>
    <w:tmpl w:val="803AA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131"/>
    <w:rsid w:val="000A7AF0"/>
    <w:rsid w:val="007F0445"/>
    <w:rsid w:val="007F1496"/>
    <w:rsid w:val="008129B8"/>
    <w:rsid w:val="009148F5"/>
    <w:rsid w:val="00AA4131"/>
    <w:rsid w:val="00CC06B9"/>
    <w:rsid w:val="00CC2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90EA4C-3192-4997-9178-63986C418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7F149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F1496"/>
    <w:rPr>
      <w:rFonts w:ascii="宋体" w:eastAsia="宋体" w:hAnsi="宋体" w:cs="宋体"/>
      <w:b/>
      <w:bCs/>
      <w:kern w:val="36"/>
      <w:sz w:val="48"/>
      <w:szCs w:val="48"/>
    </w:rPr>
  </w:style>
  <w:style w:type="character" w:styleId="a3">
    <w:name w:val="Emphasis"/>
    <w:basedOn w:val="a0"/>
    <w:uiPriority w:val="20"/>
    <w:qFormat/>
    <w:rsid w:val="007F1496"/>
    <w:rPr>
      <w:i/>
      <w:iCs/>
    </w:rPr>
  </w:style>
  <w:style w:type="character" w:styleId="a4">
    <w:name w:val="Hyperlink"/>
    <w:basedOn w:val="a0"/>
    <w:uiPriority w:val="99"/>
    <w:semiHidden/>
    <w:unhideWhenUsed/>
    <w:rsid w:val="007F1496"/>
    <w:rPr>
      <w:color w:val="0000FF"/>
      <w:u w:val="single"/>
    </w:rPr>
  </w:style>
  <w:style w:type="paragraph" w:styleId="a5">
    <w:name w:val="Normal (Web)"/>
    <w:basedOn w:val="a"/>
    <w:uiPriority w:val="99"/>
    <w:semiHidden/>
    <w:unhideWhenUsed/>
    <w:rsid w:val="007F149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F1496"/>
    <w:rPr>
      <w:b/>
      <w:bCs/>
    </w:rPr>
  </w:style>
  <w:style w:type="paragraph" w:styleId="a7">
    <w:name w:val="header"/>
    <w:basedOn w:val="a"/>
    <w:link w:val="Char"/>
    <w:uiPriority w:val="99"/>
    <w:unhideWhenUsed/>
    <w:rsid w:val="009148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9148F5"/>
    <w:rPr>
      <w:sz w:val="18"/>
      <w:szCs w:val="18"/>
    </w:rPr>
  </w:style>
  <w:style w:type="paragraph" w:styleId="a8">
    <w:name w:val="footer"/>
    <w:basedOn w:val="a"/>
    <w:link w:val="Char0"/>
    <w:uiPriority w:val="99"/>
    <w:unhideWhenUsed/>
    <w:rsid w:val="009148F5"/>
    <w:pPr>
      <w:tabs>
        <w:tab w:val="center" w:pos="4153"/>
        <w:tab w:val="right" w:pos="8306"/>
      </w:tabs>
      <w:snapToGrid w:val="0"/>
      <w:jc w:val="left"/>
    </w:pPr>
    <w:rPr>
      <w:sz w:val="18"/>
      <w:szCs w:val="18"/>
    </w:rPr>
  </w:style>
  <w:style w:type="character" w:customStyle="1" w:styleId="Char0">
    <w:name w:val="页脚 Char"/>
    <w:basedOn w:val="a0"/>
    <w:link w:val="a8"/>
    <w:uiPriority w:val="99"/>
    <w:rsid w:val="009148F5"/>
    <w:rPr>
      <w:sz w:val="18"/>
      <w:szCs w:val="18"/>
    </w:rPr>
  </w:style>
  <w:style w:type="paragraph" w:styleId="a9">
    <w:name w:val="Balloon Text"/>
    <w:basedOn w:val="a"/>
    <w:link w:val="Char1"/>
    <w:uiPriority w:val="99"/>
    <w:semiHidden/>
    <w:unhideWhenUsed/>
    <w:rsid w:val="009148F5"/>
    <w:rPr>
      <w:sz w:val="18"/>
      <w:szCs w:val="18"/>
    </w:rPr>
  </w:style>
  <w:style w:type="character" w:customStyle="1" w:styleId="Char1">
    <w:name w:val="批注框文本 Char"/>
    <w:basedOn w:val="a0"/>
    <w:link w:val="a9"/>
    <w:uiPriority w:val="99"/>
    <w:semiHidden/>
    <w:rsid w:val="009148F5"/>
    <w:rPr>
      <w:sz w:val="18"/>
      <w:szCs w:val="18"/>
    </w:rPr>
  </w:style>
  <w:style w:type="character" w:customStyle="1" w:styleId="print2">
    <w:name w:val="print2"/>
    <w:basedOn w:val="a0"/>
    <w:rsid w:val="007F0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966209">
      <w:bodyDiv w:val="1"/>
      <w:marLeft w:val="0"/>
      <w:marRight w:val="0"/>
      <w:marTop w:val="0"/>
      <w:marBottom w:val="0"/>
      <w:divBdr>
        <w:top w:val="none" w:sz="0" w:space="0" w:color="auto"/>
        <w:left w:val="none" w:sz="0" w:space="0" w:color="auto"/>
        <w:bottom w:val="none" w:sz="0" w:space="0" w:color="auto"/>
        <w:right w:val="none" w:sz="0" w:space="0" w:color="auto"/>
      </w:divBdr>
      <w:divsChild>
        <w:div w:id="1412776255">
          <w:marLeft w:val="0"/>
          <w:marRight w:val="0"/>
          <w:marTop w:val="0"/>
          <w:marBottom w:val="0"/>
          <w:divBdr>
            <w:top w:val="none" w:sz="0" w:space="0" w:color="auto"/>
            <w:left w:val="none" w:sz="0" w:space="0" w:color="auto"/>
            <w:bottom w:val="none" w:sz="0" w:space="0" w:color="auto"/>
            <w:right w:val="none" w:sz="0" w:space="0" w:color="auto"/>
          </w:divBdr>
          <w:divsChild>
            <w:div w:id="1097752018">
              <w:marLeft w:val="0"/>
              <w:marRight w:val="0"/>
              <w:marTop w:val="390"/>
              <w:marBottom w:val="570"/>
              <w:divBdr>
                <w:top w:val="single" w:sz="12" w:space="31" w:color="D01515"/>
                <w:left w:val="single" w:sz="6" w:space="23" w:color="E7E7E7"/>
                <w:bottom w:val="single" w:sz="6" w:space="31" w:color="E7E7E7"/>
                <w:right w:val="single" w:sz="6" w:space="23" w:color="E7E7E7"/>
              </w:divBdr>
              <w:divsChild>
                <w:div w:id="183516366">
                  <w:marLeft w:val="0"/>
                  <w:marRight w:val="0"/>
                  <w:marTop w:val="0"/>
                  <w:marBottom w:val="0"/>
                  <w:divBdr>
                    <w:top w:val="none" w:sz="0" w:space="0" w:color="auto"/>
                    <w:left w:val="none" w:sz="0" w:space="0" w:color="auto"/>
                    <w:bottom w:val="none" w:sz="0" w:space="0" w:color="auto"/>
                    <w:right w:val="none" w:sz="0" w:space="0" w:color="auto"/>
                  </w:divBdr>
                  <w:divsChild>
                    <w:div w:id="1842617638">
                      <w:marLeft w:val="0"/>
                      <w:marRight w:val="0"/>
                      <w:marTop w:val="0"/>
                      <w:marBottom w:val="0"/>
                      <w:divBdr>
                        <w:top w:val="none" w:sz="0" w:space="0" w:color="auto"/>
                        <w:left w:val="none" w:sz="0" w:space="0" w:color="auto"/>
                        <w:bottom w:val="none" w:sz="0" w:space="0" w:color="auto"/>
                        <w:right w:val="none" w:sz="0" w:space="0" w:color="auto"/>
                      </w:divBdr>
                    </w:div>
                    <w:div w:id="1487356512">
                      <w:marLeft w:val="0"/>
                      <w:marRight w:val="0"/>
                      <w:marTop w:val="0"/>
                      <w:marBottom w:val="0"/>
                      <w:divBdr>
                        <w:top w:val="none" w:sz="0" w:space="0" w:color="auto"/>
                        <w:left w:val="none" w:sz="0" w:space="0" w:color="auto"/>
                        <w:bottom w:val="none" w:sz="0" w:space="0" w:color="auto"/>
                        <w:right w:val="none" w:sz="0" w:space="0" w:color="auto"/>
                      </w:divBdr>
                      <w:divsChild>
                        <w:div w:id="2054767293">
                          <w:marLeft w:val="780"/>
                          <w:marRight w:val="0"/>
                          <w:marTop w:val="150"/>
                          <w:marBottom w:val="0"/>
                          <w:divBdr>
                            <w:top w:val="single" w:sz="6" w:space="0" w:color="CCC7C7"/>
                            <w:left w:val="single" w:sz="6" w:space="0" w:color="CCC7C7"/>
                            <w:bottom w:val="single" w:sz="6" w:space="0" w:color="CCC7C7"/>
                            <w:right w:val="single" w:sz="6" w:space="0" w:color="CCC7C7"/>
                          </w:divBdr>
                          <w:divsChild>
                            <w:div w:id="98508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021528">
                  <w:marLeft w:val="0"/>
                  <w:marRight w:val="0"/>
                  <w:marTop w:val="600"/>
                  <w:marBottom w:val="0"/>
                  <w:divBdr>
                    <w:top w:val="none" w:sz="0" w:space="0" w:color="auto"/>
                    <w:left w:val="none" w:sz="0" w:space="0" w:color="auto"/>
                    <w:bottom w:val="none" w:sz="0" w:space="0" w:color="auto"/>
                    <w:right w:val="none" w:sz="0" w:space="0" w:color="auto"/>
                  </w:divBdr>
                  <w:divsChild>
                    <w:div w:id="88822303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583219922">
      <w:bodyDiv w:val="1"/>
      <w:marLeft w:val="0"/>
      <w:marRight w:val="0"/>
      <w:marTop w:val="0"/>
      <w:marBottom w:val="0"/>
      <w:divBdr>
        <w:top w:val="none" w:sz="0" w:space="0" w:color="auto"/>
        <w:left w:val="none" w:sz="0" w:space="0" w:color="auto"/>
        <w:bottom w:val="none" w:sz="0" w:space="0" w:color="auto"/>
        <w:right w:val="none" w:sz="0" w:space="0" w:color="auto"/>
      </w:divBdr>
      <w:divsChild>
        <w:div w:id="331103751">
          <w:marLeft w:val="0"/>
          <w:marRight w:val="0"/>
          <w:marTop w:val="0"/>
          <w:marBottom w:val="0"/>
          <w:divBdr>
            <w:top w:val="none" w:sz="0" w:space="0" w:color="auto"/>
            <w:left w:val="none" w:sz="0" w:space="0" w:color="auto"/>
            <w:bottom w:val="single" w:sz="12" w:space="8" w:color="CB2818"/>
            <w:right w:val="none" w:sz="0" w:space="0" w:color="auto"/>
          </w:divBdr>
          <w:divsChild>
            <w:div w:id="1679580391">
              <w:marLeft w:val="0"/>
              <w:marRight w:val="0"/>
              <w:marTop w:val="0"/>
              <w:marBottom w:val="150"/>
              <w:divBdr>
                <w:top w:val="none" w:sz="0" w:space="0" w:color="auto"/>
                <w:left w:val="none" w:sz="0" w:space="0" w:color="auto"/>
                <w:bottom w:val="none" w:sz="0" w:space="0" w:color="auto"/>
                <w:right w:val="none" w:sz="0" w:space="0" w:color="auto"/>
              </w:divBdr>
            </w:div>
            <w:div w:id="1166750754">
              <w:marLeft w:val="0"/>
              <w:marRight w:val="300"/>
              <w:marTop w:val="0"/>
              <w:marBottom w:val="0"/>
              <w:divBdr>
                <w:top w:val="none" w:sz="0" w:space="0" w:color="auto"/>
                <w:left w:val="none" w:sz="0" w:space="0" w:color="auto"/>
                <w:bottom w:val="none" w:sz="0" w:space="0" w:color="auto"/>
                <w:right w:val="none" w:sz="0" w:space="0" w:color="auto"/>
              </w:divBdr>
              <w:divsChild>
                <w:div w:id="285432837">
                  <w:marLeft w:val="0"/>
                  <w:marRight w:val="0"/>
                  <w:marTop w:val="150"/>
                  <w:marBottom w:val="150"/>
                  <w:divBdr>
                    <w:top w:val="none" w:sz="0" w:space="0" w:color="auto"/>
                    <w:left w:val="none" w:sz="0" w:space="0" w:color="auto"/>
                    <w:bottom w:val="none" w:sz="0" w:space="0" w:color="auto"/>
                    <w:right w:val="none" w:sz="0" w:space="0" w:color="auto"/>
                  </w:divBdr>
                  <w:divsChild>
                    <w:div w:id="4923322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49130588">
          <w:marLeft w:val="0"/>
          <w:marRight w:val="0"/>
          <w:marTop w:val="75"/>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2021-11-23T02:06:00Z</dcterms:created>
  <dcterms:modified xsi:type="dcterms:W3CDTF">2021-11-23T02:06:00Z</dcterms:modified>
</cp:coreProperties>
</file>